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D251FE" w14:paraId="063DB9C8" w14:textId="77777777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D2ACD9" w14:textId="116CE514" w:rsidR="00D251FE" w:rsidRDefault="00D251FE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7B177066" wp14:editId="5B52C56E">
                  <wp:extent cx="7620" cy="762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1FE" w14:paraId="4E6AA3EB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90CE2EF" w14:textId="77777777" w:rsidR="00D251FE" w:rsidRDefault="00D251FE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251FE" w14:paraId="097DB622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C1F57F1" w14:textId="77777777" w:rsidR="00D251FE" w:rsidRDefault="00D251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AC1E2C"/>
                <w:sz w:val="27"/>
                <w:szCs w:val="27"/>
              </w:rPr>
              <w:t>Lojistik ve Taşımacılık Hizmetlerine Yönelik Tanımlar ve</w:t>
            </w:r>
            <w:r>
              <w:rPr>
                <w:rFonts w:ascii="Arial" w:hAnsi="Arial" w:cs="Arial"/>
                <w:color w:val="AC1E2C"/>
                <w:sz w:val="27"/>
                <w:szCs w:val="27"/>
              </w:rPr>
              <w:br/>
              <w:t>Destek Unsurlarına İlişkin Genelge</w:t>
            </w:r>
          </w:p>
        </w:tc>
      </w:tr>
      <w:tr w:rsidR="00D251FE" w14:paraId="244F9F3D" w14:textId="77777777">
        <w:trPr>
          <w:trHeight w:val="2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57D8D6F" w14:textId="1CA7D17D" w:rsidR="00F46D3F" w:rsidRDefault="00F46D3F" w:rsidP="00F46D3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Sayın Üyemiz,</w:t>
            </w:r>
          </w:p>
          <w:p w14:paraId="36C0FA50" w14:textId="354E85FA" w:rsidR="00F46D3F" w:rsidRPr="00F46D3F" w:rsidRDefault="00F46D3F" w:rsidP="00F46D3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251FE" w14:paraId="78DB8FEA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3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D251FE" w14:paraId="1CF5ED9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D251FE" w14:paraId="1DF0595A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D9CA846" w14:textId="5939D931" w:rsidR="00D251FE" w:rsidRDefault="00D251FE" w:rsidP="00334768">
                        <w:pPr>
                          <w:jc w:val="both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F46D3F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T.C. Ticaret Bakanlığı tarafından "5448 Sayılı Hizmet İhracatının Tanımlanması, Sınıflandırılması ve Desteklenmesi Hakkında Kararın Lojistik ve Taşımacılık Hizmetlerine Yönelik Uygulama Usul ve Esaslarına İlişkin Genelge" yayınlanmıştır.</w:t>
                        </w:r>
                        <w:r w:rsidRPr="00F46D3F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 w:rsidRPr="00F46D3F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 xml:space="preserve">Yayınlanan genelgede </w:t>
                        </w:r>
                        <w:r w:rsidR="00334768" w:rsidRPr="00F46D3F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19 Nisan 2022 tarihli ve 5448 sayılı Hizmet İhracatının Tanımlanması, Sınıflandırılması ve Desteklenmesi Hakkında Kararın ikinci kısmının</w:t>
                        </w:r>
                        <w:r w:rsidRPr="00F46D3F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r w:rsidR="00334768" w:rsidRPr="00F46D3F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“Lojistik ve Taşımacılık Hizmetlerine Yönelik Tanımlar ve Destek Unsurları” </w:t>
                        </w:r>
                        <w:r w:rsidRPr="00F46D3F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başlıklı beşinci bölümün</w:t>
                        </w:r>
                        <w:r w:rsidR="00334768" w:rsidRPr="00F46D3F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ün </w:t>
                        </w:r>
                        <w:r w:rsidRPr="00F46D3F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uygulanmasına yönelik usul ve esaslar belirlenmiş olup T.C. Ticaret Bakanlığı internet sitesinde söz konusu destekler ile ilgili başvuru belgeleri ve formlar yayınlanmıştır.</w:t>
                        </w:r>
                        <w:r w:rsidRPr="00F46D3F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 w:rsidRPr="00F46D3F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Söz konusu genelgeyi, desteklere yönelik başvuru belgelerini ve formlarını ekte bilgilerinize sunar, işlerinizde başarılar dileriz.</w:t>
                        </w:r>
                      </w:p>
                    </w:tc>
                  </w:tr>
                  <w:tr w:rsidR="00D251FE" w14:paraId="33A59DB0" w14:textId="77777777">
                    <w:trPr>
                      <w:trHeight w:val="24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8A095F5" w14:textId="6DD85A86" w:rsidR="00D251FE" w:rsidRDefault="00D251FE">
                        <w:pPr>
                          <w:jc w:val="both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21"/>
                            <w:szCs w:val="21"/>
                          </w:rPr>
                          <w:drawing>
                            <wp:inline distT="0" distB="0" distL="0" distR="0" wp14:anchorId="29EB65FF" wp14:editId="4857DD7A">
                              <wp:extent cx="7620" cy="7620"/>
                              <wp:effectExtent l="0" t="0" r="0" b="0"/>
                              <wp:docPr id="4" name="Resim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51FE" w14:paraId="01B7EC25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"/>
                          <w:gridCol w:w="2125"/>
                        </w:tblGrid>
                        <w:tr w:rsidR="00D251FE" w14:paraId="09322E47" w14:textId="77777777">
                          <w:trPr>
                            <w:tblCellSpacing w:w="0" w:type="dxa"/>
                          </w:trPr>
                          <w:tc>
                            <w:tcPr>
                              <w:tcW w:w="375" w:type="dxa"/>
                              <w:vAlign w:val="center"/>
                              <w:hideMark/>
                            </w:tcPr>
                            <w:p w14:paraId="739F3FED" w14:textId="0D9D8DBA" w:rsidR="00D251FE" w:rsidRDefault="00D251FE">
                              <w:pP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 wp14:anchorId="46B4AD78" wp14:editId="0CF77DB0">
                                    <wp:extent cx="160020" cy="190500"/>
                                    <wp:effectExtent l="0" t="0" r="0" b="0"/>
                                    <wp:docPr id="3" name="Resim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002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F6462E1" w14:textId="77777777" w:rsidR="00D251FE" w:rsidRDefault="00F46D3F">
                              <w:pP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hyperlink r:id="rId7" w:tgtFrame="_blank" w:history="1">
                                <w:r w:rsidR="00D251FE">
                                  <w:rPr>
                                    <w:rStyle w:val="Kpr"/>
                                    <w:rFonts w:ascii="Arial" w:hAnsi="Arial" w:cs="Arial"/>
                                    <w:color w:val="000001"/>
                                    <w:sz w:val="21"/>
                                    <w:szCs w:val="21"/>
                                  </w:rPr>
                                  <w:t>Genelge için </w:t>
                                </w:r>
                                <w:r w:rsidR="00D251FE">
                                  <w:rPr>
                                    <w:rStyle w:val="Kpr"/>
                                    <w:rFonts w:ascii="Arial" w:hAnsi="Arial" w:cs="Arial"/>
                                    <w:color w:val="AC1E2C"/>
                                    <w:sz w:val="21"/>
                                    <w:szCs w:val="21"/>
                                  </w:rPr>
                                  <w:t>Tıklayınız</w:t>
                                </w:r>
                              </w:hyperlink>
                            </w:p>
                          </w:tc>
                        </w:tr>
                      </w:tbl>
                      <w:p w14:paraId="652619C8" w14:textId="77777777" w:rsidR="00D251FE" w:rsidRDefault="00D251FE">
                        <w:pPr>
                          <w:jc w:val="both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D251FE" w14:paraId="5CF0B7D0" w14:textId="77777777">
                    <w:trPr>
                      <w:trHeight w:val="1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7EAFCCB" w14:textId="46E06C34" w:rsidR="00D251FE" w:rsidRDefault="00D251FE">
                        <w:pPr>
                          <w:jc w:val="both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21"/>
                            <w:szCs w:val="21"/>
                          </w:rPr>
                          <w:drawing>
                            <wp:inline distT="0" distB="0" distL="0" distR="0" wp14:anchorId="1C6FB986" wp14:editId="31D80263">
                              <wp:extent cx="7620" cy="7620"/>
                              <wp:effectExtent l="0" t="0" r="0" b="0"/>
                              <wp:docPr id="2" name="Resi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51FE" w14:paraId="2393CA58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"/>
                          <w:gridCol w:w="5696"/>
                        </w:tblGrid>
                        <w:tr w:rsidR="00D251FE" w14:paraId="535BD906" w14:textId="77777777">
                          <w:trPr>
                            <w:tblCellSpacing w:w="0" w:type="dxa"/>
                          </w:trPr>
                          <w:tc>
                            <w:tcPr>
                              <w:tcW w:w="375" w:type="dxa"/>
                              <w:vAlign w:val="center"/>
                              <w:hideMark/>
                            </w:tcPr>
                            <w:p w14:paraId="19C87CA6" w14:textId="4A0DFC99" w:rsidR="00D251FE" w:rsidRDefault="00D251FE">
                              <w:pP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 wp14:anchorId="052D16DC" wp14:editId="74B7CBAF">
                                    <wp:extent cx="160020" cy="190500"/>
                                    <wp:effectExtent l="0" t="0" r="0" b="0"/>
                                    <wp:docPr id="1" name="Resim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002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B62AB8B" w14:textId="77777777" w:rsidR="00D251FE" w:rsidRDefault="00F46D3F">
                              <w:pP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hyperlink r:id="rId8" w:tgtFrame="_blank" w:history="1">
                                <w:r w:rsidR="00D251FE">
                                  <w:rPr>
                                    <w:rStyle w:val="Kpr"/>
                                    <w:rFonts w:ascii="Arial" w:hAnsi="Arial" w:cs="Arial"/>
                                    <w:color w:val="000001"/>
                                    <w:sz w:val="21"/>
                                    <w:szCs w:val="21"/>
                                  </w:rPr>
                                  <w:t>Desteklere yönelik başvuru belgeleri ve formlar için </w:t>
                                </w:r>
                                <w:r w:rsidR="00D251FE">
                                  <w:rPr>
                                    <w:rStyle w:val="Kpr"/>
                                    <w:rFonts w:ascii="Arial" w:hAnsi="Arial" w:cs="Arial"/>
                                    <w:color w:val="AC1E2C"/>
                                    <w:sz w:val="21"/>
                                    <w:szCs w:val="21"/>
                                  </w:rPr>
                                  <w:t>Tıklayınız</w:t>
                                </w:r>
                              </w:hyperlink>
                            </w:p>
                          </w:tc>
                        </w:tr>
                      </w:tbl>
                      <w:p w14:paraId="05A199BE" w14:textId="77777777" w:rsidR="00D251FE" w:rsidRDefault="00D251FE">
                        <w:pPr>
                          <w:jc w:val="both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D251FE" w14:paraId="0DA7C97A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7C64DE9" w14:textId="77777777" w:rsidR="00D251FE" w:rsidRDefault="00D251FE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8E8FB19" w14:textId="77777777" w:rsidR="00D251FE" w:rsidRDefault="00D251FE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21A95982" w14:textId="77777777" w:rsidR="00D251FE" w:rsidRDefault="00D251FE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A1A3C50" w14:textId="77777777" w:rsidR="004D2023" w:rsidRPr="00D251FE" w:rsidRDefault="004D2023" w:rsidP="00D251FE"/>
    <w:sectPr w:rsidR="004D2023" w:rsidRPr="00D25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2pt;height:10.2pt;visibility:visible;mso-wrap-style:square" o:bullet="t">
        <v:imagedata r:id="rId1" o:title=""/>
      </v:shape>
    </w:pict>
  </w:numPicBullet>
  <w:abstractNum w:abstractNumId="0" w15:restartNumberingAfterBreak="0">
    <w:nsid w:val="3EF042B7"/>
    <w:multiLevelType w:val="hybridMultilevel"/>
    <w:tmpl w:val="684EDD66"/>
    <w:lvl w:ilvl="0" w:tplc="4F0625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E05A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0E6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06A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927C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B27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806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4EF9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26EC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6989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34"/>
    <w:rsid w:val="00255534"/>
    <w:rsid w:val="00334768"/>
    <w:rsid w:val="004D2023"/>
    <w:rsid w:val="00D251FE"/>
    <w:rsid w:val="00F4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ED75"/>
  <w15:chartTrackingRefBased/>
  <w15:docId w15:val="{CB71208E-CC50-4404-8F06-040DFCB6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5553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34768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F46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1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caret.gov.tr/hizmet-ticareti/doviz-kazandirici-hizmet-ticareti/hizmet-ihracatinin-tanimlanmasi-siniflandirilmasi-ve-desteklenmesi-hakkinda-karar/lojistik-ve-tasimacilik-hizmetleri-sekto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tikad.org.tr/Images/DosyaYoneticisi/160620225448sayilikararinlojistikvetasimacilikhizmetlerineyonelikuygulamausulveesaslarinailiskingenelg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DENİZ</dc:creator>
  <cp:keywords/>
  <dc:description/>
  <cp:lastModifiedBy>Uğur DENİZ</cp:lastModifiedBy>
  <cp:revision>5</cp:revision>
  <dcterms:created xsi:type="dcterms:W3CDTF">2022-06-16T08:38:00Z</dcterms:created>
  <dcterms:modified xsi:type="dcterms:W3CDTF">2022-06-16T10:58:00Z</dcterms:modified>
</cp:coreProperties>
</file>