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A5231" w14:textId="3C8DB61F" w:rsidR="0003778F" w:rsidRPr="00627CA3" w:rsidRDefault="0003778F" w:rsidP="0003778F">
      <w:pPr>
        <w:spacing w:after="0"/>
        <w:rPr>
          <w:rFonts w:ascii="Arial" w:hAnsi="Arial" w:cs="Arial"/>
          <w:color w:val="auto"/>
          <w:sz w:val="24"/>
          <w:szCs w:val="24"/>
        </w:rPr>
      </w:pPr>
    </w:p>
    <w:p w14:paraId="52DFAAEF" w14:textId="77777777" w:rsidR="0001756D" w:rsidRDefault="0001756D" w:rsidP="0001756D">
      <w:pPr>
        <w:spacing w:after="0"/>
        <w:rPr>
          <w:rFonts w:ascii="Arial" w:hAnsi="Arial" w:cs="Arial"/>
          <w:color w:val="auto"/>
          <w:sz w:val="22"/>
          <w:szCs w:val="22"/>
        </w:rPr>
      </w:pPr>
    </w:p>
    <w:p w14:paraId="69AD6445" w14:textId="77777777" w:rsidR="0001756D" w:rsidRDefault="0001756D" w:rsidP="0001756D">
      <w:pPr>
        <w:spacing w:after="0"/>
        <w:rPr>
          <w:rFonts w:ascii="Arial" w:hAnsi="Arial" w:cs="Arial"/>
          <w:b/>
          <w:noProof/>
          <w:color w:val="auto"/>
          <w:sz w:val="24"/>
          <w:szCs w:val="24"/>
        </w:rPr>
      </w:pPr>
    </w:p>
    <w:p w14:paraId="3BEC95EA" w14:textId="6F8C5346" w:rsidR="0001756D" w:rsidRDefault="0001756D" w:rsidP="0001756D">
      <w:pPr>
        <w:spacing w:after="0"/>
        <w:rPr>
          <w:rFonts w:ascii="Arial" w:hAnsi="Arial" w:cs="Arial"/>
          <w:sz w:val="24"/>
          <w:szCs w:val="24"/>
        </w:rPr>
      </w:pPr>
      <w:r>
        <w:rPr>
          <w:rFonts w:ascii="Arial" w:hAnsi="Arial" w:cs="Arial"/>
          <w:b/>
          <w:noProof/>
          <w:color w:val="auto"/>
          <w:sz w:val="24"/>
          <w:szCs w:val="24"/>
        </w:rPr>
        <w:t xml:space="preserve">                                                                                                       </w:t>
      </w:r>
      <w:r w:rsidRPr="007D42BB">
        <w:rPr>
          <w:rFonts w:ascii="Arial" w:hAnsi="Arial" w:cs="Arial"/>
          <w:color w:val="auto"/>
          <w:sz w:val="24"/>
          <w:szCs w:val="24"/>
        </w:rPr>
        <w:t xml:space="preserve">  </w:t>
      </w:r>
      <w:r>
        <w:rPr>
          <w:rFonts w:ascii="Arial" w:hAnsi="Arial" w:cs="Arial"/>
          <w:color w:val="auto"/>
          <w:sz w:val="24"/>
          <w:szCs w:val="24"/>
        </w:rPr>
        <w:t xml:space="preserve">    </w:t>
      </w:r>
      <w:r w:rsidRPr="009A3DB5">
        <w:rPr>
          <w:rFonts w:ascii="Arial" w:hAnsi="Arial" w:cs="Arial"/>
          <w:color w:val="auto"/>
          <w:sz w:val="24"/>
          <w:szCs w:val="24"/>
        </w:rPr>
        <w:t>İstanbul,</w:t>
      </w:r>
      <w:r>
        <w:rPr>
          <w:rFonts w:ascii="Arial" w:hAnsi="Arial" w:cs="Arial"/>
          <w:color w:val="auto"/>
          <w:sz w:val="24"/>
          <w:szCs w:val="24"/>
        </w:rPr>
        <w:t xml:space="preserve"> </w:t>
      </w:r>
      <w:r>
        <w:rPr>
          <w:rFonts w:ascii="Arial" w:hAnsi="Arial" w:cs="Arial"/>
          <w:color w:val="auto"/>
          <w:sz w:val="24"/>
          <w:szCs w:val="24"/>
        </w:rPr>
        <w:t>23</w:t>
      </w:r>
      <w:r w:rsidRPr="009A3DB5">
        <w:rPr>
          <w:rFonts w:ascii="Arial" w:hAnsi="Arial" w:cs="Arial"/>
          <w:color w:val="auto"/>
          <w:sz w:val="24"/>
          <w:szCs w:val="24"/>
        </w:rPr>
        <w:t>.</w:t>
      </w:r>
      <w:r>
        <w:rPr>
          <w:rFonts w:ascii="Arial" w:hAnsi="Arial" w:cs="Arial"/>
          <w:color w:val="auto"/>
          <w:sz w:val="24"/>
          <w:szCs w:val="24"/>
        </w:rPr>
        <w:t>0</w:t>
      </w:r>
      <w:r>
        <w:rPr>
          <w:rFonts w:ascii="Arial" w:hAnsi="Arial" w:cs="Arial"/>
          <w:color w:val="auto"/>
          <w:sz w:val="24"/>
          <w:szCs w:val="24"/>
        </w:rPr>
        <w:t>2</w:t>
      </w:r>
      <w:r w:rsidRPr="009A3DB5">
        <w:rPr>
          <w:rFonts w:ascii="Arial" w:hAnsi="Arial" w:cs="Arial"/>
          <w:color w:val="auto"/>
          <w:sz w:val="24"/>
          <w:szCs w:val="24"/>
        </w:rPr>
        <w:t>.202</w:t>
      </w:r>
      <w:r>
        <w:rPr>
          <w:rFonts w:ascii="Arial" w:hAnsi="Arial" w:cs="Arial"/>
          <w:color w:val="auto"/>
          <w:sz w:val="24"/>
          <w:szCs w:val="24"/>
        </w:rPr>
        <w:t>2</w:t>
      </w:r>
      <w:r w:rsidRPr="007D42BB">
        <w:rPr>
          <w:rFonts w:ascii="Arial" w:hAnsi="Arial" w:cs="Arial"/>
          <w:color w:val="auto"/>
          <w:sz w:val="24"/>
          <w:szCs w:val="24"/>
        </w:rPr>
        <w:t xml:space="preserve">   </w:t>
      </w:r>
      <w:r>
        <w:rPr>
          <w:rFonts w:ascii="Arial" w:hAnsi="Arial" w:cs="Arial"/>
          <w:color w:val="auto"/>
          <w:sz w:val="24"/>
          <w:szCs w:val="24"/>
        </w:rPr>
        <w:t xml:space="preserve">                   </w:t>
      </w:r>
    </w:p>
    <w:p w14:paraId="7E400C98" w14:textId="77777777" w:rsidR="0001756D" w:rsidRDefault="0001756D" w:rsidP="0001756D">
      <w:pPr>
        <w:shd w:val="clear" w:color="auto" w:fill="FFFFFF"/>
        <w:spacing w:after="0" w:line="240" w:lineRule="atLeast"/>
        <w:contextualSpacing/>
        <w:rPr>
          <w:rFonts w:ascii="Arial" w:hAnsi="Arial" w:cs="Arial"/>
          <w:b/>
          <w:color w:val="C0504D" w:themeColor="accent2"/>
          <w:sz w:val="36"/>
          <w:szCs w:val="36"/>
        </w:rPr>
      </w:pPr>
    </w:p>
    <w:p w14:paraId="7A301435" w14:textId="77777777" w:rsidR="0001756D" w:rsidRPr="00D313E9" w:rsidRDefault="0001756D" w:rsidP="0001756D">
      <w:pPr>
        <w:shd w:val="clear" w:color="auto" w:fill="FFFFFF"/>
        <w:spacing w:after="0" w:line="240" w:lineRule="atLeast"/>
        <w:contextualSpacing/>
        <w:jc w:val="center"/>
        <w:rPr>
          <w:rFonts w:ascii="Arial" w:hAnsi="Arial" w:cs="Arial"/>
          <w:b/>
          <w:color w:val="C0504D" w:themeColor="accent2"/>
          <w:sz w:val="36"/>
          <w:szCs w:val="36"/>
        </w:rPr>
      </w:pPr>
      <w:r w:rsidRPr="007D42BB">
        <w:rPr>
          <w:rFonts w:ascii="Arial" w:hAnsi="Arial" w:cs="Arial"/>
          <w:b/>
          <w:color w:val="C0504D" w:themeColor="accent2"/>
          <w:sz w:val="36"/>
          <w:szCs w:val="36"/>
        </w:rPr>
        <w:t>BASIN BÜLTENİ – 20</w:t>
      </w:r>
      <w:r>
        <w:rPr>
          <w:rFonts w:ascii="Arial" w:hAnsi="Arial" w:cs="Arial"/>
          <w:b/>
          <w:color w:val="C0504D" w:themeColor="accent2"/>
          <w:sz w:val="36"/>
          <w:szCs w:val="36"/>
        </w:rPr>
        <w:t>22</w:t>
      </w:r>
    </w:p>
    <w:p w14:paraId="21843229" w14:textId="77777777" w:rsidR="0001756D" w:rsidRDefault="0001756D" w:rsidP="0001756D">
      <w:pPr>
        <w:spacing w:after="0" w:line="240" w:lineRule="auto"/>
        <w:jc w:val="both"/>
        <w:rPr>
          <w:rFonts w:ascii="Arial" w:eastAsia="Calibri" w:hAnsi="Arial" w:cs="Arial"/>
          <w:b/>
          <w:bCs/>
          <w:color w:val="auto"/>
          <w:kern w:val="0"/>
          <w:sz w:val="22"/>
          <w:szCs w:val="22"/>
          <w:lang w:eastAsia="en-US"/>
        </w:rPr>
      </w:pPr>
    </w:p>
    <w:p w14:paraId="678520F0" w14:textId="77777777" w:rsidR="0001756D" w:rsidRPr="006461FF" w:rsidRDefault="0001756D" w:rsidP="006461FF">
      <w:pPr>
        <w:spacing w:after="0" w:line="240" w:lineRule="auto"/>
        <w:jc w:val="center"/>
        <w:rPr>
          <w:rFonts w:ascii="Arial" w:eastAsia="Calibri" w:hAnsi="Arial" w:cs="Arial"/>
          <w:b/>
          <w:bCs/>
          <w:color w:val="auto"/>
          <w:kern w:val="0"/>
          <w:sz w:val="22"/>
          <w:szCs w:val="22"/>
          <w:lang w:eastAsia="en-US"/>
        </w:rPr>
      </w:pPr>
    </w:p>
    <w:p w14:paraId="70B6E598" w14:textId="77777777" w:rsidR="006461FF" w:rsidRDefault="006461FF" w:rsidP="006461FF">
      <w:pPr>
        <w:spacing w:after="0" w:line="240" w:lineRule="auto"/>
        <w:jc w:val="center"/>
        <w:rPr>
          <w:rFonts w:ascii="Arial" w:hAnsi="Arial" w:cs="Arial"/>
          <w:b/>
          <w:bCs/>
          <w:color w:val="000000"/>
          <w:kern w:val="0"/>
          <w:sz w:val="22"/>
          <w:szCs w:val="22"/>
        </w:rPr>
      </w:pPr>
      <w:r w:rsidRPr="006461FF">
        <w:rPr>
          <w:rFonts w:ascii="Arial" w:hAnsi="Arial" w:cs="Arial"/>
          <w:b/>
          <w:bCs/>
          <w:color w:val="000000"/>
          <w:kern w:val="0"/>
          <w:sz w:val="22"/>
          <w:szCs w:val="22"/>
        </w:rPr>
        <w:t xml:space="preserve">UTİKAD KARADENİZ’DE SÜRDÜRÜLEBİLİR LOJİSTİK İÇİN </w:t>
      </w:r>
    </w:p>
    <w:p w14:paraId="308D0DB7" w14:textId="274E649F" w:rsidR="006461FF" w:rsidRPr="006461FF" w:rsidRDefault="006461FF" w:rsidP="006461FF">
      <w:pPr>
        <w:spacing w:after="0" w:line="240" w:lineRule="auto"/>
        <w:jc w:val="center"/>
        <w:rPr>
          <w:rFonts w:ascii="Arial" w:hAnsi="Arial" w:cs="Arial"/>
          <w:b/>
          <w:bCs/>
          <w:color w:val="000000"/>
          <w:kern w:val="0"/>
          <w:sz w:val="22"/>
          <w:szCs w:val="22"/>
        </w:rPr>
      </w:pPr>
      <w:r w:rsidRPr="006461FF">
        <w:rPr>
          <w:rFonts w:ascii="Arial" w:hAnsi="Arial" w:cs="Arial"/>
          <w:b/>
          <w:bCs/>
          <w:color w:val="000000"/>
          <w:kern w:val="0"/>
          <w:sz w:val="22"/>
          <w:szCs w:val="22"/>
        </w:rPr>
        <w:t>ALTERNATİF ROTALARI AÇIKLADI</w:t>
      </w:r>
    </w:p>
    <w:p w14:paraId="2E53E94B" w14:textId="77777777" w:rsidR="006461FF" w:rsidRPr="006461FF" w:rsidRDefault="006461FF" w:rsidP="006461FF">
      <w:pPr>
        <w:spacing w:after="0" w:line="240" w:lineRule="auto"/>
        <w:rPr>
          <w:rFonts w:ascii="Arial" w:hAnsi="Arial" w:cs="Arial"/>
          <w:color w:val="000000"/>
          <w:kern w:val="0"/>
        </w:rPr>
      </w:pPr>
    </w:p>
    <w:p w14:paraId="6429A47B" w14:textId="77777777" w:rsidR="006461FF" w:rsidRPr="006461FF" w:rsidRDefault="006461FF" w:rsidP="006461FF">
      <w:pPr>
        <w:spacing w:after="0" w:line="240" w:lineRule="auto"/>
        <w:jc w:val="center"/>
        <w:rPr>
          <w:rFonts w:ascii="Arial" w:hAnsi="Arial" w:cs="Arial"/>
          <w:b/>
          <w:bCs/>
          <w:color w:val="000000"/>
          <w:kern w:val="0"/>
        </w:rPr>
      </w:pPr>
      <w:r w:rsidRPr="006461FF">
        <w:rPr>
          <w:rFonts w:ascii="Arial" w:hAnsi="Arial" w:cs="Arial"/>
          <w:b/>
          <w:bCs/>
          <w:color w:val="000000"/>
          <w:kern w:val="0"/>
        </w:rPr>
        <w:t>Türkiye’nin dış ticaretinde hacim olarak önemli yer tutan Rusya ve Ukrayna arasında yükselen gerginlik, Türk lojistik sektöründe de yankı buldu. Mevcut rotalarda henüz bir sorunla karşılaşılmadığını dile getiren UTİKAD Yönetim Kurulu Başkanı Ayşem Ulusoy, olası bir savaş ihtimalinde kullanılabilecek rotaları da değerlendirdi.</w:t>
      </w:r>
    </w:p>
    <w:p w14:paraId="5C3B2C96" w14:textId="77777777" w:rsidR="006461FF" w:rsidRPr="006461FF" w:rsidRDefault="006461FF" w:rsidP="006461FF">
      <w:pPr>
        <w:spacing w:after="0" w:line="240" w:lineRule="auto"/>
        <w:rPr>
          <w:rFonts w:ascii="Arial" w:hAnsi="Arial" w:cs="Arial"/>
          <w:color w:val="000000"/>
          <w:kern w:val="0"/>
        </w:rPr>
      </w:pPr>
    </w:p>
    <w:p w14:paraId="652A6828" w14:textId="77777777" w:rsidR="006461FF" w:rsidRPr="006461FF" w:rsidRDefault="006461FF" w:rsidP="006461FF">
      <w:pPr>
        <w:spacing w:after="0" w:line="240" w:lineRule="auto"/>
        <w:jc w:val="both"/>
        <w:rPr>
          <w:rFonts w:ascii="Arial" w:hAnsi="Arial" w:cs="Arial"/>
          <w:color w:val="000000"/>
          <w:kern w:val="0"/>
        </w:rPr>
      </w:pPr>
      <w:r w:rsidRPr="006461FF">
        <w:rPr>
          <w:rFonts w:ascii="Arial" w:hAnsi="Arial" w:cs="Arial"/>
          <w:color w:val="000000"/>
          <w:kern w:val="0"/>
        </w:rPr>
        <w:t xml:space="preserve">Rusya ve Ukrayna arasındaki gerilimin dün akşam itibariyle daha da yükselmiş olması, tüm sektörlerde olduğu gibi Türk lojistik sektöründe de endişe yarattı. Her ne kadar henüz Ukrayna-Rusya sınırları aktif olarak açık ve geçişler normal olarak devam etse de </w:t>
      </w:r>
      <w:proofErr w:type="spellStart"/>
      <w:r w:rsidRPr="006461FF">
        <w:rPr>
          <w:rFonts w:ascii="Arial" w:hAnsi="Arial" w:cs="Arial"/>
          <w:color w:val="000000"/>
          <w:kern w:val="0"/>
        </w:rPr>
        <w:t>Lugansk</w:t>
      </w:r>
      <w:proofErr w:type="spellEnd"/>
      <w:r w:rsidRPr="006461FF">
        <w:rPr>
          <w:rFonts w:ascii="Arial" w:hAnsi="Arial" w:cs="Arial"/>
          <w:color w:val="000000"/>
          <w:kern w:val="0"/>
        </w:rPr>
        <w:t xml:space="preserve"> ve </w:t>
      </w:r>
      <w:proofErr w:type="spellStart"/>
      <w:r w:rsidRPr="006461FF">
        <w:rPr>
          <w:rFonts w:ascii="Arial" w:hAnsi="Arial" w:cs="Arial"/>
          <w:color w:val="000000"/>
          <w:kern w:val="0"/>
        </w:rPr>
        <w:t>Donets</w:t>
      </w:r>
      <w:proofErr w:type="spellEnd"/>
      <w:r w:rsidRPr="006461FF">
        <w:rPr>
          <w:rFonts w:ascii="Arial" w:hAnsi="Arial" w:cs="Arial"/>
          <w:color w:val="000000"/>
          <w:kern w:val="0"/>
        </w:rPr>
        <w:t xml:space="preserve"> yerel yönetimlerinin Rusya’ya katılma kararı alması, Rusya Devlet Başkanı Vladimir Putin’in bu kararları kabul etmesi ve kararnameleri imzalaması bölgedeki olası savaş ihtimalinin tekrar altını çizdi.  </w:t>
      </w:r>
    </w:p>
    <w:p w14:paraId="26EAB56D" w14:textId="77777777" w:rsidR="006461FF" w:rsidRPr="006461FF" w:rsidRDefault="006461FF" w:rsidP="006461FF">
      <w:pPr>
        <w:spacing w:after="0" w:line="240" w:lineRule="auto"/>
        <w:jc w:val="both"/>
        <w:rPr>
          <w:rFonts w:ascii="Arial" w:hAnsi="Arial" w:cs="Arial"/>
          <w:color w:val="000000"/>
          <w:kern w:val="0"/>
        </w:rPr>
      </w:pPr>
    </w:p>
    <w:p w14:paraId="153EE9D9" w14:textId="77777777" w:rsidR="006461FF" w:rsidRPr="006461FF" w:rsidRDefault="006461FF" w:rsidP="006461FF">
      <w:pPr>
        <w:spacing w:after="0" w:line="240" w:lineRule="auto"/>
        <w:jc w:val="both"/>
        <w:rPr>
          <w:rFonts w:ascii="Arial" w:hAnsi="Arial" w:cs="Arial"/>
          <w:color w:val="000000"/>
          <w:kern w:val="0"/>
        </w:rPr>
      </w:pPr>
      <w:r w:rsidRPr="006461FF">
        <w:rPr>
          <w:rFonts w:ascii="Arial" w:hAnsi="Arial" w:cs="Arial"/>
          <w:color w:val="000000"/>
          <w:kern w:val="0"/>
        </w:rPr>
        <w:t xml:space="preserve">Bunun yanı sıra Türkiye Dış İşleri Bakanlığı yayınladığı bildiri ile Rusya’nın kararnamesini tanımadığını açıkladı. Açıklamada, Rusya’nın tutumunun Minsk Anlaşması hususlarına tamamen aykırı olduğu ve Rusya’nın anlaşmadan terki anlamına geleceği de belirtildi. </w:t>
      </w:r>
    </w:p>
    <w:p w14:paraId="299DD5BE" w14:textId="77777777" w:rsidR="006461FF" w:rsidRPr="006461FF" w:rsidRDefault="006461FF" w:rsidP="006461FF">
      <w:pPr>
        <w:spacing w:after="0" w:line="240" w:lineRule="auto"/>
        <w:jc w:val="both"/>
        <w:rPr>
          <w:rFonts w:ascii="Arial" w:hAnsi="Arial" w:cs="Arial"/>
          <w:color w:val="000000"/>
          <w:kern w:val="0"/>
        </w:rPr>
      </w:pPr>
      <w:r w:rsidRPr="006461FF">
        <w:rPr>
          <w:rFonts w:ascii="Arial" w:hAnsi="Arial" w:cs="Arial"/>
          <w:color w:val="000000"/>
          <w:kern w:val="0"/>
        </w:rPr>
        <w:t> </w:t>
      </w:r>
    </w:p>
    <w:p w14:paraId="271D9E6F" w14:textId="77777777" w:rsidR="006461FF" w:rsidRPr="006461FF" w:rsidRDefault="006461FF" w:rsidP="006461FF">
      <w:pPr>
        <w:spacing w:after="0" w:line="240" w:lineRule="auto"/>
        <w:jc w:val="both"/>
        <w:rPr>
          <w:rFonts w:ascii="Arial" w:hAnsi="Arial" w:cs="Arial"/>
          <w:color w:val="000000"/>
          <w:kern w:val="0"/>
        </w:rPr>
      </w:pPr>
      <w:r w:rsidRPr="006461FF">
        <w:rPr>
          <w:rFonts w:ascii="Arial" w:hAnsi="Arial" w:cs="Arial"/>
          <w:color w:val="000000"/>
          <w:kern w:val="0"/>
        </w:rPr>
        <w:t xml:space="preserve">Rusya ile 2021 yılında 27 milyar dolarlık dış ticaret hacmine sahip olan Türkiye, özellikle sivil savunmada iş birliği yaptığı Ukrayna ile de 6 milyar dolarlık bir dış ticaret hacmine sahiptir. Ülkemizin her iki ülkeyle olan siyasi ve ticari ilişkilerinin nasıl etkileneceği önümüzdeki günlerde daha da netleşecektir. Ancak mevcut durumu lojistik sektörü özelinde değerlendirdiğimizde öncelikle iki konuyu gündeme getirmekte yarar bulunmaktadır. Bunlardan ilki ülkemizin ciddi anlamda dünya çapında fark yarattığı ‘Sivil Savunma </w:t>
      </w:r>
      <w:proofErr w:type="spellStart"/>
      <w:r w:rsidRPr="006461FF">
        <w:rPr>
          <w:rFonts w:ascii="Arial" w:hAnsi="Arial" w:cs="Arial"/>
          <w:color w:val="000000"/>
          <w:kern w:val="0"/>
        </w:rPr>
        <w:t>Lojistiği’nin</w:t>
      </w:r>
      <w:proofErr w:type="spellEnd"/>
      <w:r w:rsidRPr="006461FF">
        <w:rPr>
          <w:rFonts w:ascii="Arial" w:hAnsi="Arial" w:cs="Arial"/>
          <w:color w:val="000000"/>
          <w:kern w:val="0"/>
        </w:rPr>
        <w:t xml:space="preserve"> durumudur. Bu ve benzeri gerginlikler, olası savaş ihtimali ülkemize hizmet sektörü anlamında gerçekten zarar verebilir. </w:t>
      </w:r>
    </w:p>
    <w:p w14:paraId="3653DBF2" w14:textId="77777777" w:rsidR="006461FF" w:rsidRPr="006461FF" w:rsidRDefault="006461FF" w:rsidP="006461FF">
      <w:pPr>
        <w:spacing w:after="0" w:line="240" w:lineRule="auto"/>
        <w:jc w:val="both"/>
        <w:rPr>
          <w:rFonts w:ascii="Arial" w:hAnsi="Arial" w:cs="Arial"/>
          <w:color w:val="000000"/>
          <w:kern w:val="0"/>
        </w:rPr>
      </w:pPr>
    </w:p>
    <w:p w14:paraId="4A29A1AA" w14:textId="77777777" w:rsidR="006461FF" w:rsidRPr="006461FF" w:rsidRDefault="006461FF" w:rsidP="006461FF">
      <w:pPr>
        <w:spacing w:after="0" w:line="240" w:lineRule="auto"/>
        <w:jc w:val="both"/>
        <w:rPr>
          <w:rFonts w:ascii="Arial" w:hAnsi="Arial" w:cs="Arial"/>
          <w:color w:val="000000"/>
          <w:kern w:val="0"/>
        </w:rPr>
      </w:pPr>
      <w:r w:rsidRPr="006461FF">
        <w:rPr>
          <w:rFonts w:ascii="Arial" w:hAnsi="Arial" w:cs="Arial"/>
          <w:color w:val="000000"/>
          <w:kern w:val="0"/>
        </w:rPr>
        <w:t xml:space="preserve">Diğer konu ise bu gerginliğin savaşa dönüşmesi durumunda alternatif güzergahların ivedilikle belirlenmesi, mevcut rotalardaki geçişler için gerekli önlemlerin alınmasıdır. </w:t>
      </w:r>
      <w:proofErr w:type="spellStart"/>
      <w:r w:rsidRPr="006461FF">
        <w:rPr>
          <w:rFonts w:ascii="Arial" w:hAnsi="Arial" w:cs="Arial"/>
          <w:color w:val="000000"/>
          <w:kern w:val="0"/>
        </w:rPr>
        <w:t>Gürcistan’nın</w:t>
      </w:r>
      <w:proofErr w:type="spellEnd"/>
      <w:r w:rsidRPr="006461FF">
        <w:rPr>
          <w:rFonts w:ascii="Arial" w:hAnsi="Arial" w:cs="Arial"/>
          <w:color w:val="000000"/>
          <w:kern w:val="0"/>
        </w:rPr>
        <w:t xml:space="preserve"> </w:t>
      </w:r>
      <w:proofErr w:type="spellStart"/>
      <w:r w:rsidRPr="006461FF">
        <w:rPr>
          <w:rFonts w:ascii="Arial" w:hAnsi="Arial" w:cs="Arial"/>
          <w:color w:val="000000"/>
          <w:kern w:val="0"/>
        </w:rPr>
        <w:t>Verhniy</w:t>
      </w:r>
      <w:proofErr w:type="spellEnd"/>
      <w:r w:rsidRPr="006461FF">
        <w:rPr>
          <w:rFonts w:ascii="Arial" w:hAnsi="Arial" w:cs="Arial"/>
          <w:color w:val="000000"/>
          <w:kern w:val="0"/>
        </w:rPr>
        <w:t xml:space="preserve"> </w:t>
      </w:r>
      <w:proofErr w:type="spellStart"/>
      <w:r w:rsidRPr="006461FF">
        <w:rPr>
          <w:rFonts w:ascii="Arial" w:hAnsi="Arial" w:cs="Arial"/>
          <w:color w:val="000000"/>
          <w:kern w:val="0"/>
        </w:rPr>
        <w:t>Lars</w:t>
      </w:r>
      <w:proofErr w:type="spellEnd"/>
      <w:r w:rsidRPr="006461FF">
        <w:rPr>
          <w:rFonts w:ascii="Arial" w:hAnsi="Arial" w:cs="Arial"/>
          <w:color w:val="000000"/>
          <w:kern w:val="0"/>
        </w:rPr>
        <w:t xml:space="preserve"> Kapısı ve Azerbaycan Derbent Kapısı alternatif güzergahlar olarak öne çıksa uzun vadede sorun yaşanacaktır. Çünkü her iki kapı da yük trafiğinin bu yöne kayması durumunda hem teknolojik altyapı hem de araç beklemeleri için yetersiz kalacaklardır.</w:t>
      </w:r>
    </w:p>
    <w:p w14:paraId="3A2BCCED" w14:textId="77777777" w:rsidR="006461FF" w:rsidRPr="006461FF" w:rsidRDefault="006461FF" w:rsidP="006461FF">
      <w:pPr>
        <w:spacing w:after="0" w:line="240" w:lineRule="auto"/>
        <w:jc w:val="both"/>
        <w:rPr>
          <w:rFonts w:ascii="Arial" w:hAnsi="Arial" w:cs="Arial"/>
          <w:color w:val="000000"/>
          <w:kern w:val="0"/>
        </w:rPr>
      </w:pPr>
    </w:p>
    <w:p w14:paraId="3D617597" w14:textId="77777777" w:rsidR="006461FF" w:rsidRPr="006461FF" w:rsidRDefault="006461FF" w:rsidP="006461FF">
      <w:pPr>
        <w:spacing w:after="0" w:line="240" w:lineRule="auto"/>
        <w:jc w:val="both"/>
        <w:rPr>
          <w:rFonts w:ascii="Arial" w:hAnsi="Arial" w:cs="Arial"/>
          <w:color w:val="000000"/>
          <w:kern w:val="0"/>
        </w:rPr>
      </w:pPr>
      <w:r w:rsidRPr="006461FF">
        <w:rPr>
          <w:rFonts w:ascii="Arial" w:hAnsi="Arial" w:cs="Arial"/>
          <w:color w:val="000000"/>
          <w:kern w:val="0"/>
        </w:rPr>
        <w:t xml:space="preserve">Rusya ile ticaret hacmimizin yaklaşık yüzde 60-65 kadarının Ukrayna üzerinden sağlandığını göz önüne aldığımızda bu iki kapıda çok ciddi birikmelerin yaşanması olasıdır. Burada kapı geçişlerinin ve transit sürelerin en az 10 gün kadar uzaması söz konusu olabilir. Navlunların da bu sıkıntılardan dolayı yüzde 40-50 oranında yükselmesi olasılığını da göz ardı etmemekte fayda olacaktır. </w:t>
      </w:r>
    </w:p>
    <w:p w14:paraId="5EE9055C" w14:textId="77777777" w:rsidR="006461FF" w:rsidRPr="006461FF" w:rsidRDefault="006461FF" w:rsidP="006461FF">
      <w:pPr>
        <w:spacing w:after="0" w:line="240" w:lineRule="auto"/>
        <w:jc w:val="both"/>
        <w:rPr>
          <w:rFonts w:ascii="Arial" w:hAnsi="Arial" w:cs="Arial"/>
          <w:color w:val="000000"/>
          <w:kern w:val="0"/>
        </w:rPr>
      </w:pPr>
      <w:r w:rsidRPr="006461FF">
        <w:rPr>
          <w:rFonts w:ascii="Arial" w:hAnsi="Arial" w:cs="Arial"/>
          <w:color w:val="000000"/>
          <w:kern w:val="0"/>
        </w:rPr>
        <w:t> </w:t>
      </w:r>
    </w:p>
    <w:p w14:paraId="2C7F7CA8" w14:textId="77777777" w:rsidR="006461FF" w:rsidRPr="006461FF" w:rsidRDefault="006461FF" w:rsidP="006461FF">
      <w:pPr>
        <w:spacing w:after="0" w:line="240" w:lineRule="auto"/>
        <w:jc w:val="both"/>
        <w:rPr>
          <w:rFonts w:ascii="Arial" w:eastAsia="Calibri" w:hAnsi="Arial" w:cs="Arial"/>
          <w:color w:val="auto"/>
          <w:kern w:val="0"/>
          <w:lang w:eastAsia="en-US"/>
        </w:rPr>
      </w:pPr>
      <w:r w:rsidRPr="006461FF">
        <w:rPr>
          <w:rFonts w:ascii="Arial" w:hAnsi="Arial" w:cs="Arial"/>
          <w:color w:val="000000"/>
          <w:kern w:val="0"/>
        </w:rPr>
        <w:t xml:space="preserve">Başka bir alternatif ise Rusya ile Türkiye arasında uzun süredir gündemde olan Ro-Ro seferleri olabilir. </w:t>
      </w:r>
      <w:r w:rsidRPr="006461FF">
        <w:rPr>
          <w:rFonts w:ascii="Arial" w:eastAsia="Calibri" w:hAnsi="Arial" w:cs="Arial"/>
          <w:color w:val="auto"/>
          <w:kern w:val="0"/>
          <w:lang w:eastAsia="en-US"/>
        </w:rPr>
        <w:t xml:space="preserve">Türkiye-Rusya arasında bir Ro-Ro seferi prensipte gayet makuldür, aynı zamanda hem Gürcistan hem de Azerbaycan geçişlerinde çok daha uygun olacaktır </w:t>
      </w:r>
    </w:p>
    <w:p w14:paraId="31DDF187" w14:textId="77777777" w:rsidR="006461FF" w:rsidRPr="006461FF" w:rsidRDefault="006461FF" w:rsidP="006461FF">
      <w:pPr>
        <w:spacing w:after="0" w:line="240" w:lineRule="auto"/>
        <w:jc w:val="both"/>
        <w:rPr>
          <w:rFonts w:ascii="Arial" w:hAnsi="Arial" w:cs="Arial"/>
          <w:color w:val="000000"/>
          <w:kern w:val="0"/>
        </w:rPr>
      </w:pPr>
    </w:p>
    <w:p w14:paraId="7431D071" w14:textId="77777777" w:rsidR="006461FF" w:rsidRDefault="006461FF" w:rsidP="006461FF">
      <w:pPr>
        <w:spacing w:after="0" w:line="240" w:lineRule="auto"/>
        <w:jc w:val="both"/>
        <w:rPr>
          <w:rFonts w:ascii="Arial" w:eastAsia="Calibri" w:hAnsi="Arial" w:cs="Arial"/>
          <w:color w:val="auto"/>
          <w:kern w:val="0"/>
          <w:lang w:eastAsia="en-US"/>
        </w:rPr>
      </w:pPr>
      <w:r w:rsidRPr="006461FF">
        <w:rPr>
          <w:rFonts w:ascii="Arial" w:hAnsi="Arial" w:cs="Arial"/>
          <w:color w:val="000000"/>
          <w:kern w:val="0"/>
        </w:rPr>
        <w:t xml:space="preserve">Ancak </w:t>
      </w:r>
      <w:r w:rsidRPr="006461FF">
        <w:rPr>
          <w:rFonts w:ascii="Arial" w:eastAsia="Calibri" w:hAnsi="Arial" w:cs="Arial"/>
          <w:color w:val="auto"/>
          <w:kern w:val="0"/>
          <w:lang w:eastAsia="en-US"/>
        </w:rPr>
        <w:t xml:space="preserve">Rusya kendi limanlarını, konteyner elleçleme alanları olarak tanımlamakta ve TIR’lara da konteyner lokal masrafları uygulamak istemektedir. Geçtiğimiz yıllarda Rusya ve Türkiye arasında bu yönde görüşmeler yapılmış; Rusya sadece Ro-Ro seferleri yapılacak uygun liman göstermemiş, önerilen limanların konteyner </w:t>
      </w:r>
    </w:p>
    <w:p w14:paraId="15149548" w14:textId="77777777" w:rsidR="006461FF" w:rsidRDefault="006461FF" w:rsidP="006461FF">
      <w:pPr>
        <w:spacing w:after="0" w:line="240" w:lineRule="auto"/>
        <w:jc w:val="both"/>
        <w:rPr>
          <w:rFonts w:ascii="Arial" w:eastAsia="Calibri" w:hAnsi="Arial" w:cs="Arial"/>
          <w:color w:val="auto"/>
          <w:kern w:val="0"/>
          <w:lang w:eastAsia="en-US"/>
        </w:rPr>
      </w:pPr>
    </w:p>
    <w:p w14:paraId="2A87A03C" w14:textId="36166B06" w:rsidR="006461FF" w:rsidRPr="006461FF" w:rsidRDefault="006461FF" w:rsidP="006461FF">
      <w:pPr>
        <w:spacing w:after="0" w:line="240" w:lineRule="auto"/>
        <w:jc w:val="both"/>
        <w:rPr>
          <w:rFonts w:ascii="Arial" w:eastAsia="Calibri" w:hAnsi="Arial" w:cs="Arial"/>
          <w:color w:val="auto"/>
          <w:kern w:val="0"/>
          <w:lang w:eastAsia="en-US"/>
        </w:rPr>
      </w:pPr>
      <w:proofErr w:type="gramStart"/>
      <w:r w:rsidRPr="006461FF">
        <w:rPr>
          <w:rFonts w:ascii="Arial" w:eastAsia="Calibri" w:hAnsi="Arial" w:cs="Arial"/>
          <w:color w:val="auto"/>
          <w:kern w:val="0"/>
          <w:lang w:eastAsia="en-US"/>
        </w:rPr>
        <w:t>sahaları</w:t>
      </w:r>
      <w:proofErr w:type="gramEnd"/>
      <w:r w:rsidRPr="006461FF">
        <w:rPr>
          <w:rFonts w:ascii="Arial" w:eastAsia="Calibri" w:hAnsi="Arial" w:cs="Arial"/>
          <w:color w:val="auto"/>
          <w:kern w:val="0"/>
          <w:lang w:eastAsia="en-US"/>
        </w:rPr>
        <w:t xml:space="preserve"> ile ortak olması ve tahsis edilecek alanların darlığı neticesinde Ro-Ro projesi hayata geçirilememiştir. Normal bir dönemde bile Ro-Ro seferlerine sıcak bakmayan Rusya’nın Karadeniz’de yaşanacak olası bir savaşta limanlarını ticarete ne kadar açacağı ise başka bir soru işareti olarak karşımıza çıkmaktadır. </w:t>
      </w:r>
    </w:p>
    <w:p w14:paraId="301AEF9F" w14:textId="77777777" w:rsidR="006461FF" w:rsidRPr="006461FF" w:rsidRDefault="006461FF" w:rsidP="006461FF">
      <w:pPr>
        <w:spacing w:after="0" w:line="240" w:lineRule="auto"/>
        <w:jc w:val="both"/>
        <w:rPr>
          <w:rFonts w:ascii="Arial" w:hAnsi="Arial" w:cs="Arial"/>
          <w:color w:val="000000"/>
          <w:kern w:val="0"/>
        </w:rPr>
      </w:pPr>
    </w:p>
    <w:p w14:paraId="1F97C6D0" w14:textId="151CEB87" w:rsidR="006461FF" w:rsidRDefault="006461FF" w:rsidP="006461FF">
      <w:pPr>
        <w:spacing w:after="0" w:line="240" w:lineRule="auto"/>
        <w:jc w:val="both"/>
        <w:rPr>
          <w:rFonts w:ascii="Arial" w:hAnsi="Arial" w:cs="Arial"/>
          <w:color w:val="000000"/>
          <w:kern w:val="0"/>
        </w:rPr>
      </w:pPr>
      <w:r w:rsidRPr="006461FF">
        <w:rPr>
          <w:rFonts w:ascii="Arial" w:hAnsi="Arial" w:cs="Arial"/>
          <w:color w:val="000000"/>
          <w:kern w:val="0"/>
        </w:rPr>
        <w:t xml:space="preserve">Bu noktada olası son alternatif ise </w:t>
      </w:r>
      <w:proofErr w:type="spellStart"/>
      <w:r w:rsidRPr="006461FF">
        <w:rPr>
          <w:rFonts w:ascii="Arial" w:hAnsi="Arial" w:cs="Arial"/>
          <w:color w:val="000000"/>
          <w:kern w:val="0"/>
        </w:rPr>
        <w:t>Belarus</w:t>
      </w:r>
      <w:proofErr w:type="spellEnd"/>
      <w:r w:rsidRPr="006461FF">
        <w:rPr>
          <w:rFonts w:ascii="Arial" w:hAnsi="Arial" w:cs="Arial"/>
          <w:color w:val="000000"/>
          <w:kern w:val="0"/>
        </w:rPr>
        <w:t xml:space="preserve"> ve Polonya’nın HUB olarak kullanılması olabilir. Bu aktarmalı model çok daha zor ve maliyetli olmasına rağmen sürdürülebilir lojistik hizmetler için ön plana çıkmaktadır.</w:t>
      </w:r>
    </w:p>
    <w:p w14:paraId="11845DB5" w14:textId="77777777" w:rsidR="006461FF" w:rsidRPr="006461FF" w:rsidRDefault="006461FF" w:rsidP="006461FF">
      <w:pPr>
        <w:spacing w:after="0" w:line="240" w:lineRule="auto"/>
        <w:jc w:val="both"/>
        <w:rPr>
          <w:rFonts w:ascii="Arial" w:hAnsi="Arial" w:cs="Arial"/>
          <w:color w:val="000000"/>
          <w:kern w:val="0"/>
        </w:rPr>
      </w:pPr>
    </w:p>
    <w:p w14:paraId="6EB73FAB" w14:textId="77777777" w:rsidR="0001756D" w:rsidRPr="006F06BB" w:rsidRDefault="0001756D" w:rsidP="0001756D">
      <w:pPr>
        <w:spacing w:after="0" w:line="240" w:lineRule="auto"/>
        <w:jc w:val="both"/>
        <w:rPr>
          <w:rFonts w:ascii="Arial" w:hAnsi="Arial" w:cs="Arial"/>
          <w:b/>
          <w:i/>
          <w:color w:val="auto"/>
          <w:sz w:val="16"/>
          <w:szCs w:val="16"/>
        </w:rPr>
      </w:pPr>
      <w:r w:rsidRPr="006F06BB">
        <w:rPr>
          <w:rFonts w:ascii="Arial" w:hAnsi="Arial" w:cs="Arial"/>
          <w:b/>
          <w:i/>
          <w:color w:val="auto"/>
          <w:sz w:val="16"/>
          <w:szCs w:val="16"/>
        </w:rPr>
        <w:t>UTİKAD Hakkında;</w:t>
      </w:r>
    </w:p>
    <w:p w14:paraId="071288B9" w14:textId="77777777" w:rsidR="0001756D" w:rsidRPr="007D42BB" w:rsidRDefault="0001756D" w:rsidP="0001756D">
      <w:pPr>
        <w:spacing w:after="0" w:line="240" w:lineRule="auto"/>
        <w:jc w:val="both"/>
        <w:rPr>
          <w:rFonts w:ascii="Arial" w:hAnsi="Arial" w:cs="Arial"/>
          <w:b/>
          <w:i/>
          <w:color w:val="auto"/>
          <w:sz w:val="16"/>
          <w:szCs w:val="16"/>
        </w:rPr>
      </w:pPr>
      <w:r w:rsidRPr="007D42BB">
        <w:rPr>
          <w:rFonts w:ascii="Arial" w:hAnsi="Arial" w:cs="Arial"/>
          <w:b/>
          <w:i/>
          <w:color w:val="auto"/>
          <w:sz w:val="16"/>
          <w:szCs w:val="16"/>
        </w:rPr>
        <w:t xml:space="preserve">   </w:t>
      </w:r>
    </w:p>
    <w:p w14:paraId="6D13CF96" w14:textId="77777777" w:rsidR="0001756D" w:rsidRPr="00E4271D" w:rsidRDefault="0001756D" w:rsidP="0001756D">
      <w:pPr>
        <w:spacing w:after="0" w:line="240" w:lineRule="auto"/>
        <w:jc w:val="both"/>
        <w:rPr>
          <w:rFonts w:ascii="Arial" w:hAnsi="Arial" w:cs="Arial"/>
          <w:i/>
          <w:color w:val="auto"/>
          <w:sz w:val="16"/>
          <w:szCs w:val="16"/>
        </w:rPr>
      </w:pPr>
      <w:r w:rsidRPr="007D42BB">
        <w:rPr>
          <w:rFonts w:ascii="Arial" w:hAnsi="Arial" w:cs="Arial"/>
          <w:i/>
          <w:color w:val="auto"/>
          <w:sz w:val="16"/>
          <w:szCs w:val="16"/>
        </w:rPr>
        <w:t>1986 yılında kurulan Uluslararası Taşımacılık ve Lojistik Hizmet Üretenleri Derneği (UTİKAD); lojistik sektörünün en önemli sivil toplum kuruluşlarından birisi olarak Türkiye’de ve uluslararası alanda kara, hava, deniz, demiryolu, kombine taşımacılığı ile lojistik hizmetler üreten firmaları aynı çatı altında toplamaktadır. UTİKAD, üyelerine verdiği hizmetlerin yanı sıra, lojistik sektörünün dünya çapındaki en büyük sivil toplum kuruluşu olan Uluslararası Taşıma İşleri Organizatörleri Dernekleri Federasyonu’nun (FIATA) Türkiye temsilciliğini üstlenmiş ve ülkemizi FIATA Yönetim Kurulu’nda temsil etmektedir. Ayrıca Avrupa Taşıma İşleri Organizatörleri, Taşımacılık, Lojistik ve Gümrükleme Hizmetleri Derneği (CLECAT) üyesi ve Ekonomik İş</w:t>
      </w:r>
      <w:r>
        <w:rPr>
          <w:rFonts w:ascii="Arial" w:hAnsi="Arial" w:cs="Arial"/>
          <w:i/>
          <w:color w:val="auto"/>
          <w:sz w:val="16"/>
          <w:szCs w:val="16"/>
        </w:rPr>
        <w:t xml:space="preserve"> </w:t>
      </w:r>
      <w:r w:rsidRPr="007D42BB">
        <w:rPr>
          <w:rFonts w:ascii="Arial" w:hAnsi="Arial" w:cs="Arial"/>
          <w:i/>
          <w:color w:val="auto"/>
          <w:sz w:val="16"/>
          <w:szCs w:val="16"/>
        </w:rPr>
        <w:t>birliği Teşkilatı Lojistik Sağlayıcıları Dernekleri Federasyonu (ECOLPAF) kurucu üyesidir.</w:t>
      </w:r>
    </w:p>
    <w:p w14:paraId="449E0488" w14:textId="7D20A3A1" w:rsidR="00631ECD" w:rsidRDefault="00631ECD" w:rsidP="00DE48D0">
      <w:pPr>
        <w:spacing w:after="0"/>
        <w:rPr>
          <w:rFonts w:ascii="Arial" w:hAnsi="Arial" w:cs="Arial"/>
          <w:color w:val="auto"/>
          <w:sz w:val="24"/>
          <w:szCs w:val="24"/>
        </w:rPr>
      </w:pPr>
    </w:p>
    <w:sectPr w:rsidR="00631ECD" w:rsidSect="00DE48D0">
      <w:headerReference w:type="default" r:id="rId11"/>
      <w:footerReference w:type="default" r:id="rId12"/>
      <w:pgSz w:w="11906" w:h="16838"/>
      <w:pgMar w:top="851" w:right="991" w:bottom="1418"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5B15B" w14:textId="77777777" w:rsidR="00733C63" w:rsidRDefault="00733C63" w:rsidP="00BD1D2D">
      <w:pPr>
        <w:spacing w:after="0" w:line="240" w:lineRule="auto"/>
      </w:pPr>
      <w:r>
        <w:separator/>
      </w:r>
    </w:p>
  </w:endnote>
  <w:endnote w:type="continuationSeparator" w:id="0">
    <w:p w14:paraId="19654806" w14:textId="77777777" w:rsidR="00733C63" w:rsidRDefault="00733C63" w:rsidP="00BD1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onsolas">
    <w:panose1 w:val="020B0609020204030204"/>
    <w:charset w:val="A2"/>
    <w:family w:val="modern"/>
    <w:pitch w:val="fixed"/>
    <w:sig w:usb0="E00006FF" w:usb1="0000FCFF" w:usb2="00000001" w:usb3="00000000" w:csb0="0000019F" w:csb1="00000000"/>
  </w:font>
  <w:font w:name="Arial">
    <w:panose1 w:val="020B0604020202020204"/>
    <w:charset w:val="A2"/>
    <w:family w:val="swiss"/>
    <w:pitch w:val="variable"/>
    <w:sig w:usb0="E0002EFF" w:usb1="C000785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94881833"/>
  <w:bookmarkStart w:id="1" w:name="_Hlk94881834"/>
  <w:bookmarkStart w:id="2" w:name="_Hlk94881835"/>
  <w:bookmarkStart w:id="3" w:name="_Hlk94881836"/>
  <w:p w14:paraId="37FD723E" w14:textId="77777777" w:rsidR="007C2BB4" w:rsidRPr="00F0476B" w:rsidRDefault="007C2BB4" w:rsidP="007C2BB4">
    <w:pPr>
      <w:pStyle w:val="AltBilgi"/>
      <w:jc w:val="center"/>
      <w:rPr>
        <w:rStyle w:val="Kpr"/>
        <w:rFonts w:ascii="Microsoft Sans Serif" w:hAnsi="Microsoft Sans Serif" w:cs="Microsoft Sans Serif"/>
        <w:b/>
        <w:noProof/>
        <w:color w:val="000000" w:themeColor="text1"/>
        <w:u w:val="none"/>
      </w:rPr>
    </w:pPr>
    <w:r>
      <w:rPr>
        <w:rFonts w:ascii="Microsoft Sans Serif" w:hAnsi="Microsoft Sans Serif" w:cs="Microsoft Sans Serif"/>
        <w:b/>
        <w:noProof/>
      </w:rPr>
      <w:fldChar w:fldCharType="begin"/>
    </w:r>
    <w:r>
      <w:rPr>
        <w:rFonts w:ascii="Microsoft Sans Serif" w:hAnsi="Microsoft Sans Serif" w:cs="Microsoft Sans Serif"/>
        <w:b/>
        <w:noProof/>
      </w:rPr>
      <w:instrText xml:space="preserve"> HYPERLINK "http://</w:instrText>
    </w:r>
    <w:r w:rsidRPr="00CC10B8">
      <w:rPr>
        <w:rFonts w:ascii="Microsoft Sans Serif" w:hAnsi="Microsoft Sans Serif" w:cs="Microsoft Sans Serif"/>
        <w:b/>
        <w:noProof/>
      </w:rPr>
      <w:instrText>www.utikad.org.tr</w:instrText>
    </w:r>
    <w:r>
      <w:rPr>
        <w:rFonts w:ascii="Microsoft Sans Serif" w:hAnsi="Microsoft Sans Serif" w:cs="Microsoft Sans Serif"/>
        <w:b/>
        <w:noProof/>
      </w:rPr>
      <w:instrText xml:space="preserve">" </w:instrText>
    </w:r>
    <w:r>
      <w:rPr>
        <w:rFonts w:ascii="Microsoft Sans Serif" w:hAnsi="Microsoft Sans Serif" w:cs="Microsoft Sans Serif"/>
        <w:b/>
        <w:noProof/>
      </w:rPr>
      <w:fldChar w:fldCharType="separate"/>
    </w:r>
    <w:r w:rsidRPr="0007758F">
      <w:rPr>
        <w:rStyle w:val="Kpr"/>
        <w:rFonts w:ascii="Microsoft Sans Serif" w:hAnsi="Microsoft Sans Serif" w:cs="Microsoft Sans Serif"/>
        <w:b/>
        <w:noProof/>
      </w:rPr>
      <w:t>www.utikad.org.tr</w:t>
    </w:r>
    <w:r>
      <w:rPr>
        <w:rFonts w:ascii="Microsoft Sans Serif" w:hAnsi="Microsoft Sans Serif" w:cs="Microsoft Sans Serif"/>
        <w:b/>
        <w:noProof/>
      </w:rPr>
      <w:fldChar w:fldCharType="end"/>
    </w:r>
  </w:p>
  <w:p w14:paraId="111476EA" w14:textId="77777777" w:rsidR="007C2BB4" w:rsidRDefault="007C2BB4" w:rsidP="007C2BB4">
    <w:pPr>
      <w:pStyle w:val="AltBilgi"/>
      <w:jc w:val="center"/>
      <w:rPr>
        <w:b/>
        <w:noProof/>
        <w:color w:val="000000" w:themeColor="text1"/>
      </w:rPr>
    </w:pPr>
    <w:r>
      <w:rPr>
        <w:b/>
        <w:noProof/>
        <w:color w:val="000000" w:themeColor="text1"/>
      </w:rPr>
      <w:drawing>
        <wp:inline distT="0" distB="0" distL="0" distR="0" wp14:anchorId="6A1D3815" wp14:editId="7DFD5F7B">
          <wp:extent cx="2990215" cy="24765"/>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0215" cy="24765"/>
                  </a:xfrm>
                  <a:prstGeom prst="rect">
                    <a:avLst/>
                  </a:prstGeom>
                  <a:noFill/>
                  <a:ln>
                    <a:noFill/>
                  </a:ln>
                </pic:spPr>
              </pic:pic>
            </a:graphicData>
          </a:graphic>
        </wp:inline>
      </w:drawing>
    </w:r>
  </w:p>
  <w:p w14:paraId="59229FEF" w14:textId="77777777" w:rsidR="007C2BB4" w:rsidRPr="00823B30" w:rsidRDefault="007C2BB4" w:rsidP="007C2BB4">
    <w:pPr>
      <w:pStyle w:val="AltBilgi"/>
      <w:jc w:val="center"/>
      <w:rPr>
        <w:b/>
        <w:noProof/>
        <w:color w:val="000000" w:themeColor="text1"/>
      </w:rPr>
    </w:pPr>
  </w:p>
  <w:p w14:paraId="205E851E" w14:textId="77777777" w:rsidR="007C2BB4" w:rsidRPr="00F0476B" w:rsidRDefault="007C2BB4" w:rsidP="007C2BB4">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Uluslararası Taşımacılık ve Lojistik Hizmet Üretenleri Derneği</w:t>
    </w:r>
  </w:p>
  <w:p w14:paraId="65259BF3" w14:textId="77777777" w:rsidR="007C2BB4" w:rsidRPr="00F0476B" w:rsidRDefault="007C2BB4" w:rsidP="007C2BB4">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Association of International Forwarding and Logistics Service Providers</w:t>
    </w:r>
  </w:p>
  <w:p w14:paraId="6EDCA120" w14:textId="77777777" w:rsidR="007C2BB4" w:rsidRDefault="007C2BB4" w:rsidP="007C2BB4">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 xml:space="preserve">Tel: +90 </w:t>
    </w:r>
    <w:r>
      <w:rPr>
        <w:rFonts w:ascii="Microsoft Sans Serif" w:hAnsi="Microsoft Sans Serif" w:cs="Microsoft Sans Serif"/>
        <w:noProof/>
        <w:color w:val="000000" w:themeColor="text1"/>
      </w:rPr>
      <w:t>212 663 08 85 / +90 530</w:t>
    </w:r>
    <w:r w:rsidRPr="00F0476B">
      <w:rPr>
        <w:rFonts w:ascii="Microsoft Sans Serif" w:hAnsi="Microsoft Sans Serif" w:cs="Microsoft Sans Serif"/>
        <w:noProof/>
        <w:color w:val="000000" w:themeColor="text1"/>
      </w:rPr>
      <w:t xml:space="preserve"> </w:t>
    </w:r>
    <w:r>
      <w:rPr>
        <w:rFonts w:ascii="Microsoft Sans Serif" w:hAnsi="Microsoft Sans Serif" w:cs="Microsoft Sans Serif"/>
        <w:noProof/>
        <w:color w:val="000000" w:themeColor="text1"/>
      </w:rPr>
      <w:t xml:space="preserve">960 84 24 </w:t>
    </w:r>
    <w:r w:rsidRPr="00F0476B">
      <w:rPr>
        <w:rFonts w:ascii="Microsoft Sans Serif" w:hAnsi="Microsoft Sans Serif" w:cs="Microsoft Sans Serif"/>
        <w:noProof/>
        <w:color w:val="000000" w:themeColor="text1"/>
      </w:rPr>
      <w:t>Faks:</w:t>
    </w:r>
    <w:r>
      <w:rPr>
        <w:rFonts w:ascii="Microsoft Sans Serif" w:hAnsi="Microsoft Sans Serif" w:cs="Microsoft Sans Serif"/>
        <w:noProof/>
        <w:color w:val="000000" w:themeColor="text1"/>
      </w:rPr>
      <w:t xml:space="preserve"> +90 212</w:t>
    </w:r>
    <w:r w:rsidRPr="00F0476B">
      <w:rPr>
        <w:rFonts w:ascii="Microsoft Sans Serif" w:hAnsi="Microsoft Sans Serif" w:cs="Microsoft Sans Serif"/>
        <w:noProof/>
        <w:color w:val="000000" w:themeColor="text1"/>
      </w:rPr>
      <w:t xml:space="preserve"> </w:t>
    </w:r>
    <w:r>
      <w:rPr>
        <w:rFonts w:ascii="Microsoft Sans Serif" w:hAnsi="Microsoft Sans Serif" w:cs="Microsoft Sans Serif"/>
        <w:noProof/>
        <w:color w:val="000000" w:themeColor="text1"/>
      </w:rPr>
      <w:t>6</w:t>
    </w:r>
    <w:r w:rsidRPr="00F0476B">
      <w:rPr>
        <w:rFonts w:ascii="Microsoft Sans Serif" w:hAnsi="Microsoft Sans Serif" w:cs="Microsoft Sans Serif"/>
        <w:noProof/>
        <w:color w:val="000000" w:themeColor="text1"/>
      </w:rPr>
      <w:t>63 62 72</w:t>
    </w:r>
  </w:p>
  <w:p w14:paraId="211E3F63" w14:textId="77777777" w:rsidR="007C2BB4" w:rsidRPr="00F0476B" w:rsidRDefault="007C2BB4" w:rsidP="007C2BB4">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 xml:space="preserve">e-mail: </w:t>
    </w:r>
    <w:hyperlink r:id="rId2" w:history="1">
      <w:r w:rsidRPr="00F0476B">
        <w:rPr>
          <w:rStyle w:val="Kpr"/>
          <w:rFonts w:ascii="Microsoft Sans Serif" w:hAnsi="Microsoft Sans Serif" w:cs="Microsoft Sans Serif"/>
          <w:noProof/>
          <w:color w:val="000000" w:themeColor="text1"/>
          <w:u w:val="none"/>
        </w:rPr>
        <w:t>utikad@utikad.org.tr</w:t>
      </w:r>
    </w:hyperlink>
    <w:r>
      <w:rPr>
        <w:rStyle w:val="Kpr"/>
        <w:rFonts w:ascii="Microsoft Sans Serif" w:hAnsi="Microsoft Sans Serif" w:cs="Microsoft Sans Serif"/>
        <w:noProof/>
        <w:color w:val="000000" w:themeColor="text1"/>
        <w:u w:val="none"/>
      </w:rPr>
      <w:t xml:space="preserve">  KEP Adresi: </w:t>
    </w:r>
    <w:r w:rsidRPr="00B444B9">
      <w:rPr>
        <w:rStyle w:val="Kpr"/>
        <w:rFonts w:ascii="Microsoft Sans Serif" w:hAnsi="Microsoft Sans Serif" w:cs="Microsoft Sans Serif"/>
        <w:noProof/>
        <w:color w:val="000000" w:themeColor="text1"/>
        <w:u w:val="none"/>
      </w:rPr>
      <w:t>utikad.uluslararasi@hs01.kep.tr</w:t>
    </w:r>
  </w:p>
  <w:p w14:paraId="20728F0F" w14:textId="77777777" w:rsidR="007C2BB4" w:rsidRPr="00866010" w:rsidRDefault="007C2BB4" w:rsidP="007C2BB4">
    <w:pPr>
      <w:spacing w:after="0"/>
      <w:jc w:val="center"/>
      <w:rPr>
        <w:rFonts w:ascii="Microsoft Sans Serif" w:eastAsia="Calibri" w:hAnsi="Microsoft Sans Serif" w:cs="Microsoft Sans Serif"/>
        <w:color w:val="auto"/>
        <w:kern w:val="0"/>
        <w:lang w:eastAsia="en-US"/>
      </w:rPr>
    </w:pPr>
    <w:r>
      <w:rPr>
        <w:rFonts w:ascii="Microsoft Sans Serif" w:eastAsia="Calibri" w:hAnsi="Microsoft Sans Serif" w:cs="Microsoft Sans Serif"/>
        <w:color w:val="auto"/>
        <w:kern w:val="0"/>
        <w:lang w:eastAsia="en-US"/>
      </w:rPr>
      <w:t xml:space="preserve">Gayrettepe Mahallesi, Barbaros Bulvarı Dr. Orhan Birman İş Merkezi </w:t>
    </w:r>
  </w:p>
  <w:p w14:paraId="65E700F9" w14:textId="77777777" w:rsidR="007C2BB4" w:rsidRPr="00866010" w:rsidRDefault="007C2BB4" w:rsidP="007C2BB4">
    <w:pPr>
      <w:spacing w:after="0"/>
      <w:jc w:val="center"/>
      <w:rPr>
        <w:rFonts w:ascii="Microsoft Sans Serif" w:eastAsia="Calibri" w:hAnsi="Microsoft Sans Serif" w:cs="Microsoft Sans Serif"/>
        <w:color w:val="auto"/>
        <w:kern w:val="0"/>
        <w:lang w:eastAsia="en-US"/>
      </w:rPr>
    </w:pPr>
    <w:r>
      <w:rPr>
        <w:rFonts w:ascii="Microsoft Sans Serif" w:eastAsia="Calibri" w:hAnsi="Microsoft Sans Serif" w:cs="Microsoft Sans Serif"/>
        <w:color w:val="auto"/>
        <w:kern w:val="0"/>
        <w:lang w:eastAsia="en-US"/>
      </w:rPr>
      <w:t xml:space="preserve">No: 149/6  Beşiktaş – 34349 </w:t>
    </w:r>
    <w:r w:rsidRPr="00866010">
      <w:rPr>
        <w:rFonts w:ascii="Microsoft Sans Serif" w:eastAsia="Calibri" w:hAnsi="Microsoft Sans Serif" w:cs="Microsoft Sans Serif"/>
        <w:color w:val="auto"/>
        <w:kern w:val="0"/>
        <w:lang w:eastAsia="en-US"/>
      </w:rPr>
      <w:t>– İstanbul -</w:t>
    </w:r>
    <w:r w:rsidRPr="00866010">
      <w:rPr>
        <w:rFonts w:ascii="Microsoft Sans Serif" w:hAnsi="Microsoft Sans Serif" w:cs="Microsoft Sans Serif"/>
        <w:noProof/>
        <w:color w:val="000000" w:themeColor="text1"/>
      </w:rPr>
      <w:t xml:space="preserve"> Türkiye</w:t>
    </w:r>
    <w:bookmarkEnd w:id="0"/>
    <w:bookmarkEnd w:id="1"/>
    <w:bookmarkEnd w:id="2"/>
    <w:bookmarkEnd w:id="3"/>
  </w:p>
  <w:p w14:paraId="1BA6A665" w14:textId="29C8ED4F" w:rsidR="00823B30" w:rsidRPr="007C2BB4" w:rsidRDefault="00823B30" w:rsidP="007C2BB4">
    <w:pPr>
      <w:pStyle w:val="AltBilgi"/>
      <w:rPr>
        <w:rFonts w:eastAsia="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90C9A" w14:textId="77777777" w:rsidR="00733C63" w:rsidRDefault="00733C63" w:rsidP="00BD1D2D">
      <w:pPr>
        <w:spacing w:after="0" w:line="240" w:lineRule="auto"/>
      </w:pPr>
      <w:r>
        <w:separator/>
      </w:r>
    </w:p>
  </w:footnote>
  <w:footnote w:type="continuationSeparator" w:id="0">
    <w:p w14:paraId="3ECACEE5" w14:textId="77777777" w:rsidR="00733C63" w:rsidRDefault="00733C63" w:rsidP="00BD1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8967C" w14:textId="77777777" w:rsidR="00132D52" w:rsidRDefault="00132D52" w:rsidP="00132D52">
    <w:pPr>
      <w:pStyle w:val="stBilgi"/>
      <w:jc w:val="center"/>
    </w:pPr>
    <w:r>
      <w:rPr>
        <w:noProof/>
      </w:rPr>
      <w:drawing>
        <wp:inline distT="0" distB="0" distL="0" distR="0" wp14:anchorId="1FB408E8" wp14:editId="58C65D82">
          <wp:extent cx="2368152" cy="468000"/>
          <wp:effectExtent l="0" t="0" r="0" b="825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8152" cy="46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BB0E2B"/>
    <w:multiLevelType w:val="hybridMultilevel"/>
    <w:tmpl w:val="F9A02114"/>
    <w:lvl w:ilvl="0" w:tplc="041F0019">
      <w:start w:val="1"/>
      <w:numFmt w:val="lowerLetter"/>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D2D"/>
    <w:rsid w:val="00003E59"/>
    <w:rsid w:val="00005668"/>
    <w:rsid w:val="0001756D"/>
    <w:rsid w:val="0002347B"/>
    <w:rsid w:val="00025BE7"/>
    <w:rsid w:val="0003778F"/>
    <w:rsid w:val="00065EB8"/>
    <w:rsid w:val="00081C76"/>
    <w:rsid w:val="00084CA5"/>
    <w:rsid w:val="000A4D54"/>
    <w:rsid w:val="000B3E9E"/>
    <w:rsid w:val="000D0DBF"/>
    <w:rsid w:val="000D1798"/>
    <w:rsid w:val="000D554A"/>
    <w:rsid w:val="000E1D5C"/>
    <w:rsid w:val="000E4983"/>
    <w:rsid w:val="000E5F9D"/>
    <w:rsid w:val="001075C1"/>
    <w:rsid w:val="00111CD3"/>
    <w:rsid w:val="00113E21"/>
    <w:rsid w:val="001170C5"/>
    <w:rsid w:val="00130A3D"/>
    <w:rsid w:val="00132D52"/>
    <w:rsid w:val="00134F3D"/>
    <w:rsid w:val="001430A6"/>
    <w:rsid w:val="0014622B"/>
    <w:rsid w:val="0017531F"/>
    <w:rsid w:val="001779F5"/>
    <w:rsid w:val="00186C65"/>
    <w:rsid w:val="001A2858"/>
    <w:rsid w:val="001B6791"/>
    <w:rsid w:val="001E0D1E"/>
    <w:rsid w:val="001E2800"/>
    <w:rsid w:val="001F5AD7"/>
    <w:rsid w:val="002254D6"/>
    <w:rsid w:val="00234CD0"/>
    <w:rsid w:val="00234E9D"/>
    <w:rsid w:val="0024744A"/>
    <w:rsid w:val="00250E48"/>
    <w:rsid w:val="0025117B"/>
    <w:rsid w:val="00257E1C"/>
    <w:rsid w:val="00275A17"/>
    <w:rsid w:val="00283FA0"/>
    <w:rsid w:val="002D389C"/>
    <w:rsid w:val="002D62C3"/>
    <w:rsid w:val="002D688F"/>
    <w:rsid w:val="002E5C94"/>
    <w:rsid w:val="002E6DA8"/>
    <w:rsid w:val="002F2795"/>
    <w:rsid w:val="002F4FE2"/>
    <w:rsid w:val="00300AEF"/>
    <w:rsid w:val="003136D3"/>
    <w:rsid w:val="00331A33"/>
    <w:rsid w:val="0033292E"/>
    <w:rsid w:val="0035705A"/>
    <w:rsid w:val="003624EF"/>
    <w:rsid w:val="00367A77"/>
    <w:rsid w:val="003715E4"/>
    <w:rsid w:val="003A0930"/>
    <w:rsid w:val="003A4B1F"/>
    <w:rsid w:val="003A4B4E"/>
    <w:rsid w:val="003A7FAE"/>
    <w:rsid w:val="003C24C1"/>
    <w:rsid w:val="003E5B30"/>
    <w:rsid w:val="003F5165"/>
    <w:rsid w:val="004061BC"/>
    <w:rsid w:val="00411A92"/>
    <w:rsid w:val="00415E2A"/>
    <w:rsid w:val="00420A55"/>
    <w:rsid w:val="00452897"/>
    <w:rsid w:val="00453161"/>
    <w:rsid w:val="0046386C"/>
    <w:rsid w:val="00473688"/>
    <w:rsid w:val="00490B31"/>
    <w:rsid w:val="004A4EA6"/>
    <w:rsid w:val="004B475A"/>
    <w:rsid w:val="004B52EF"/>
    <w:rsid w:val="004B5E5D"/>
    <w:rsid w:val="004C6C43"/>
    <w:rsid w:val="004C760C"/>
    <w:rsid w:val="004D66BC"/>
    <w:rsid w:val="004E2E7C"/>
    <w:rsid w:val="004E461A"/>
    <w:rsid w:val="004F67F0"/>
    <w:rsid w:val="004F74A2"/>
    <w:rsid w:val="00504984"/>
    <w:rsid w:val="00506367"/>
    <w:rsid w:val="00511262"/>
    <w:rsid w:val="00512D30"/>
    <w:rsid w:val="00521977"/>
    <w:rsid w:val="00523DAB"/>
    <w:rsid w:val="0053495A"/>
    <w:rsid w:val="005553FB"/>
    <w:rsid w:val="005623A3"/>
    <w:rsid w:val="005A6DC6"/>
    <w:rsid w:val="005B11CA"/>
    <w:rsid w:val="005C0748"/>
    <w:rsid w:val="005C47BD"/>
    <w:rsid w:val="005C5103"/>
    <w:rsid w:val="005F2762"/>
    <w:rsid w:val="005F6111"/>
    <w:rsid w:val="00612FC9"/>
    <w:rsid w:val="00626FDE"/>
    <w:rsid w:val="00627CA3"/>
    <w:rsid w:val="00631ECD"/>
    <w:rsid w:val="00645FC1"/>
    <w:rsid w:val="006461FF"/>
    <w:rsid w:val="006540BE"/>
    <w:rsid w:val="00671E35"/>
    <w:rsid w:val="006778E7"/>
    <w:rsid w:val="0069493A"/>
    <w:rsid w:val="006B009B"/>
    <w:rsid w:val="006C0645"/>
    <w:rsid w:val="006D438F"/>
    <w:rsid w:val="006E6833"/>
    <w:rsid w:val="00733C63"/>
    <w:rsid w:val="00773C75"/>
    <w:rsid w:val="00773E49"/>
    <w:rsid w:val="0077545A"/>
    <w:rsid w:val="007A0329"/>
    <w:rsid w:val="007B31C7"/>
    <w:rsid w:val="007C081C"/>
    <w:rsid w:val="007C192E"/>
    <w:rsid w:val="007C2BB4"/>
    <w:rsid w:val="007C6E9D"/>
    <w:rsid w:val="007E1CB5"/>
    <w:rsid w:val="007E4974"/>
    <w:rsid w:val="007F35ED"/>
    <w:rsid w:val="007F77A5"/>
    <w:rsid w:val="00807674"/>
    <w:rsid w:val="00823B30"/>
    <w:rsid w:val="008351EB"/>
    <w:rsid w:val="00835A88"/>
    <w:rsid w:val="00837BF0"/>
    <w:rsid w:val="00845C8D"/>
    <w:rsid w:val="0086155A"/>
    <w:rsid w:val="00866010"/>
    <w:rsid w:val="00886967"/>
    <w:rsid w:val="008A2D18"/>
    <w:rsid w:val="008A6F6F"/>
    <w:rsid w:val="008C2F81"/>
    <w:rsid w:val="008D39A2"/>
    <w:rsid w:val="008F3985"/>
    <w:rsid w:val="0091084D"/>
    <w:rsid w:val="00925169"/>
    <w:rsid w:val="00945742"/>
    <w:rsid w:val="00955747"/>
    <w:rsid w:val="00970766"/>
    <w:rsid w:val="0097204E"/>
    <w:rsid w:val="009941F0"/>
    <w:rsid w:val="009A1691"/>
    <w:rsid w:val="009A751A"/>
    <w:rsid w:val="009C3A58"/>
    <w:rsid w:val="009C5292"/>
    <w:rsid w:val="009D1F3E"/>
    <w:rsid w:val="009D322F"/>
    <w:rsid w:val="009E1896"/>
    <w:rsid w:val="009E4C6A"/>
    <w:rsid w:val="00A00F03"/>
    <w:rsid w:val="00A1124B"/>
    <w:rsid w:val="00A3676B"/>
    <w:rsid w:val="00A42A83"/>
    <w:rsid w:val="00A61D08"/>
    <w:rsid w:val="00A750AA"/>
    <w:rsid w:val="00AA4532"/>
    <w:rsid w:val="00AC7677"/>
    <w:rsid w:val="00AC7764"/>
    <w:rsid w:val="00AD1E4D"/>
    <w:rsid w:val="00AD3EE0"/>
    <w:rsid w:val="00AE6BA3"/>
    <w:rsid w:val="00AF25A2"/>
    <w:rsid w:val="00B048F0"/>
    <w:rsid w:val="00B13B5F"/>
    <w:rsid w:val="00B17D5F"/>
    <w:rsid w:val="00B34DB9"/>
    <w:rsid w:val="00B444B9"/>
    <w:rsid w:val="00B55D0D"/>
    <w:rsid w:val="00B57452"/>
    <w:rsid w:val="00B6678D"/>
    <w:rsid w:val="00B7122A"/>
    <w:rsid w:val="00B74779"/>
    <w:rsid w:val="00B80722"/>
    <w:rsid w:val="00BB595C"/>
    <w:rsid w:val="00BD1D2D"/>
    <w:rsid w:val="00BE3C1D"/>
    <w:rsid w:val="00BE7080"/>
    <w:rsid w:val="00BF4799"/>
    <w:rsid w:val="00C40D02"/>
    <w:rsid w:val="00C46450"/>
    <w:rsid w:val="00C534A4"/>
    <w:rsid w:val="00C53ADA"/>
    <w:rsid w:val="00C63E7B"/>
    <w:rsid w:val="00C64A8A"/>
    <w:rsid w:val="00C91A83"/>
    <w:rsid w:val="00CA0088"/>
    <w:rsid w:val="00CB45D0"/>
    <w:rsid w:val="00CC3CC6"/>
    <w:rsid w:val="00CC7052"/>
    <w:rsid w:val="00CD1911"/>
    <w:rsid w:val="00CE1195"/>
    <w:rsid w:val="00CE45E7"/>
    <w:rsid w:val="00CE5330"/>
    <w:rsid w:val="00CF2AFE"/>
    <w:rsid w:val="00D0374D"/>
    <w:rsid w:val="00D118A7"/>
    <w:rsid w:val="00D16088"/>
    <w:rsid w:val="00D2373A"/>
    <w:rsid w:val="00D34D52"/>
    <w:rsid w:val="00D4702D"/>
    <w:rsid w:val="00D71A74"/>
    <w:rsid w:val="00DB4804"/>
    <w:rsid w:val="00DB744B"/>
    <w:rsid w:val="00DC0358"/>
    <w:rsid w:val="00DC6570"/>
    <w:rsid w:val="00DD0FD2"/>
    <w:rsid w:val="00DD6EF4"/>
    <w:rsid w:val="00DE48D0"/>
    <w:rsid w:val="00DF3CC7"/>
    <w:rsid w:val="00DF51B1"/>
    <w:rsid w:val="00E01537"/>
    <w:rsid w:val="00E1513D"/>
    <w:rsid w:val="00E22A7B"/>
    <w:rsid w:val="00E26F2E"/>
    <w:rsid w:val="00E43F3B"/>
    <w:rsid w:val="00E61917"/>
    <w:rsid w:val="00E72339"/>
    <w:rsid w:val="00E760CF"/>
    <w:rsid w:val="00E76385"/>
    <w:rsid w:val="00E80054"/>
    <w:rsid w:val="00EB527E"/>
    <w:rsid w:val="00EC16F3"/>
    <w:rsid w:val="00EC1DFF"/>
    <w:rsid w:val="00EE483C"/>
    <w:rsid w:val="00F0476B"/>
    <w:rsid w:val="00F05D4E"/>
    <w:rsid w:val="00F127D8"/>
    <w:rsid w:val="00F17E31"/>
    <w:rsid w:val="00F2742B"/>
    <w:rsid w:val="00F31C68"/>
    <w:rsid w:val="00F37AAC"/>
    <w:rsid w:val="00F45BA1"/>
    <w:rsid w:val="00F5029B"/>
    <w:rsid w:val="00F530E6"/>
    <w:rsid w:val="00F533BC"/>
    <w:rsid w:val="00F665D0"/>
    <w:rsid w:val="00F73E76"/>
    <w:rsid w:val="00F80681"/>
    <w:rsid w:val="00F81B73"/>
    <w:rsid w:val="00F95575"/>
    <w:rsid w:val="00FA0B9C"/>
    <w:rsid w:val="00FA5032"/>
    <w:rsid w:val="00FA5FF8"/>
    <w:rsid w:val="00FB4707"/>
    <w:rsid w:val="00FB4E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364D03"/>
  <w15:docId w15:val="{2CC8EF96-8BB0-4F04-A69F-39DAA181B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imes New Roman" w:hAnsi="Tahoma" w:cs="Tahoma"/>
        <w:color w:val="E30613"/>
        <w:kern w:val="18"/>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D1D2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D1D2D"/>
    <w:rPr>
      <w:sz w:val="16"/>
      <w:szCs w:val="16"/>
      <w:lang w:eastAsia="tr-TR"/>
    </w:rPr>
  </w:style>
  <w:style w:type="paragraph" w:styleId="stBilgi">
    <w:name w:val="header"/>
    <w:basedOn w:val="Normal"/>
    <w:link w:val="stBilgiChar"/>
    <w:uiPriority w:val="99"/>
    <w:unhideWhenUsed/>
    <w:rsid w:val="00BD1D2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D1D2D"/>
    <w:rPr>
      <w:rFonts w:ascii="Times New Roman" w:hAnsi="Times New Roman" w:cs="Times New Roman"/>
      <w:sz w:val="20"/>
      <w:szCs w:val="20"/>
      <w:lang w:eastAsia="tr-TR"/>
    </w:rPr>
  </w:style>
  <w:style w:type="paragraph" w:styleId="AltBilgi">
    <w:name w:val="footer"/>
    <w:basedOn w:val="Normal"/>
    <w:link w:val="AltBilgiChar"/>
    <w:uiPriority w:val="99"/>
    <w:unhideWhenUsed/>
    <w:rsid w:val="00BD1D2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D1D2D"/>
    <w:rPr>
      <w:rFonts w:ascii="Times New Roman" w:hAnsi="Times New Roman" w:cs="Times New Roman"/>
      <w:sz w:val="20"/>
      <w:szCs w:val="20"/>
      <w:lang w:eastAsia="tr-TR"/>
    </w:rPr>
  </w:style>
  <w:style w:type="character" w:styleId="Kpr">
    <w:name w:val="Hyperlink"/>
    <w:basedOn w:val="VarsaylanParagrafYazTipi"/>
    <w:uiPriority w:val="99"/>
    <w:unhideWhenUsed/>
    <w:rsid w:val="00823B30"/>
    <w:rPr>
      <w:color w:val="0000FF" w:themeColor="hyperlink"/>
      <w:u w:val="single"/>
    </w:rPr>
  </w:style>
  <w:style w:type="paragraph" w:customStyle="1" w:styleId="ecxmsonormal">
    <w:name w:val="ecxmsonormal"/>
    <w:basedOn w:val="Normal"/>
    <w:uiPriority w:val="99"/>
    <w:rsid w:val="00CF2AFE"/>
    <w:pPr>
      <w:spacing w:after="0" w:line="240" w:lineRule="auto"/>
    </w:pPr>
    <w:rPr>
      <w:rFonts w:eastAsia="Calibri"/>
      <w:color w:val="auto"/>
      <w:kern w:val="0"/>
      <w:sz w:val="24"/>
      <w:szCs w:val="24"/>
    </w:rPr>
  </w:style>
  <w:style w:type="paragraph" w:styleId="AralkYok">
    <w:name w:val="No Spacing"/>
    <w:uiPriority w:val="1"/>
    <w:qFormat/>
    <w:rsid w:val="00521977"/>
    <w:pPr>
      <w:spacing w:after="0" w:line="240" w:lineRule="auto"/>
    </w:pPr>
    <w:rPr>
      <w:rFonts w:ascii="Calibri" w:eastAsia="Calibri" w:hAnsi="Calibri" w:cs="Times New Roman"/>
      <w:color w:val="auto"/>
      <w:kern w:val="0"/>
    </w:rPr>
  </w:style>
  <w:style w:type="character" w:styleId="zmlenmeyenBahsetme">
    <w:name w:val="Unresolved Mention"/>
    <w:basedOn w:val="VarsaylanParagrafYazTipi"/>
    <w:uiPriority w:val="99"/>
    <w:semiHidden/>
    <w:unhideWhenUsed/>
    <w:rsid w:val="00866010"/>
    <w:rPr>
      <w:color w:val="605E5C"/>
      <w:shd w:val="clear" w:color="auto" w:fill="E1DFDD"/>
    </w:rPr>
  </w:style>
  <w:style w:type="paragraph" w:styleId="HTMLncedenBiimlendirilmi">
    <w:name w:val="HTML Preformatted"/>
    <w:basedOn w:val="Normal"/>
    <w:link w:val="HTMLncedenBiimlendirilmiChar"/>
    <w:uiPriority w:val="99"/>
    <w:semiHidden/>
    <w:unhideWhenUsed/>
    <w:rsid w:val="009C5292"/>
    <w:pPr>
      <w:spacing w:after="0" w:line="240" w:lineRule="auto"/>
    </w:pPr>
    <w:rPr>
      <w:rFonts w:ascii="Consolas" w:hAnsi="Consolas"/>
    </w:rPr>
  </w:style>
  <w:style w:type="character" w:customStyle="1" w:styleId="HTMLncedenBiimlendirilmiChar">
    <w:name w:val="HTML Önceden Biçimlendirilmiş Char"/>
    <w:basedOn w:val="VarsaylanParagrafYazTipi"/>
    <w:link w:val="HTMLncedenBiimlendirilmi"/>
    <w:uiPriority w:val="99"/>
    <w:semiHidden/>
    <w:rsid w:val="009C5292"/>
    <w:rPr>
      <w:rFonts w:ascii="Consolas" w:hAnsi="Consolas"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65405">
      <w:bodyDiv w:val="1"/>
      <w:marLeft w:val="0"/>
      <w:marRight w:val="0"/>
      <w:marTop w:val="0"/>
      <w:marBottom w:val="0"/>
      <w:divBdr>
        <w:top w:val="none" w:sz="0" w:space="0" w:color="auto"/>
        <w:left w:val="none" w:sz="0" w:space="0" w:color="auto"/>
        <w:bottom w:val="none" w:sz="0" w:space="0" w:color="auto"/>
        <w:right w:val="none" w:sz="0" w:space="0" w:color="auto"/>
      </w:divBdr>
    </w:div>
    <w:div w:id="521863588">
      <w:bodyDiv w:val="1"/>
      <w:marLeft w:val="0"/>
      <w:marRight w:val="0"/>
      <w:marTop w:val="0"/>
      <w:marBottom w:val="0"/>
      <w:divBdr>
        <w:top w:val="none" w:sz="0" w:space="0" w:color="auto"/>
        <w:left w:val="none" w:sz="0" w:space="0" w:color="auto"/>
        <w:bottom w:val="none" w:sz="0" w:space="0" w:color="auto"/>
        <w:right w:val="none" w:sz="0" w:space="0" w:color="auto"/>
      </w:divBdr>
    </w:div>
    <w:div w:id="611978402">
      <w:bodyDiv w:val="1"/>
      <w:marLeft w:val="0"/>
      <w:marRight w:val="0"/>
      <w:marTop w:val="0"/>
      <w:marBottom w:val="0"/>
      <w:divBdr>
        <w:top w:val="none" w:sz="0" w:space="0" w:color="auto"/>
        <w:left w:val="none" w:sz="0" w:space="0" w:color="auto"/>
        <w:bottom w:val="none" w:sz="0" w:space="0" w:color="auto"/>
        <w:right w:val="none" w:sz="0" w:space="0" w:color="auto"/>
      </w:divBdr>
    </w:div>
    <w:div w:id="686062751">
      <w:bodyDiv w:val="1"/>
      <w:marLeft w:val="0"/>
      <w:marRight w:val="0"/>
      <w:marTop w:val="0"/>
      <w:marBottom w:val="0"/>
      <w:divBdr>
        <w:top w:val="none" w:sz="0" w:space="0" w:color="auto"/>
        <w:left w:val="none" w:sz="0" w:space="0" w:color="auto"/>
        <w:bottom w:val="none" w:sz="0" w:space="0" w:color="auto"/>
        <w:right w:val="none" w:sz="0" w:space="0" w:color="auto"/>
      </w:divBdr>
    </w:div>
    <w:div w:id="810975168">
      <w:bodyDiv w:val="1"/>
      <w:marLeft w:val="0"/>
      <w:marRight w:val="0"/>
      <w:marTop w:val="0"/>
      <w:marBottom w:val="0"/>
      <w:divBdr>
        <w:top w:val="none" w:sz="0" w:space="0" w:color="auto"/>
        <w:left w:val="none" w:sz="0" w:space="0" w:color="auto"/>
        <w:bottom w:val="none" w:sz="0" w:space="0" w:color="auto"/>
        <w:right w:val="none" w:sz="0" w:space="0" w:color="auto"/>
      </w:divBdr>
    </w:div>
    <w:div w:id="814836326">
      <w:bodyDiv w:val="1"/>
      <w:marLeft w:val="0"/>
      <w:marRight w:val="0"/>
      <w:marTop w:val="0"/>
      <w:marBottom w:val="0"/>
      <w:divBdr>
        <w:top w:val="none" w:sz="0" w:space="0" w:color="auto"/>
        <w:left w:val="none" w:sz="0" w:space="0" w:color="auto"/>
        <w:bottom w:val="none" w:sz="0" w:space="0" w:color="auto"/>
        <w:right w:val="none" w:sz="0" w:space="0" w:color="auto"/>
      </w:divBdr>
    </w:div>
    <w:div w:id="1153328154">
      <w:bodyDiv w:val="1"/>
      <w:marLeft w:val="0"/>
      <w:marRight w:val="0"/>
      <w:marTop w:val="0"/>
      <w:marBottom w:val="0"/>
      <w:divBdr>
        <w:top w:val="none" w:sz="0" w:space="0" w:color="auto"/>
        <w:left w:val="none" w:sz="0" w:space="0" w:color="auto"/>
        <w:bottom w:val="none" w:sz="0" w:space="0" w:color="auto"/>
        <w:right w:val="none" w:sz="0" w:space="0" w:color="auto"/>
      </w:divBdr>
    </w:div>
    <w:div w:id="1212884794">
      <w:bodyDiv w:val="1"/>
      <w:marLeft w:val="0"/>
      <w:marRight w:val="0"/>
      <w:marTop w:val="0"/>
      <w:marBottom w:val="0"/>
      <w:divBdr>
        <w:top w:val="none" w:sz="0" w:space="0" w:color="auto"/>
        <w:left w:val="none" w:sz="0" w:space="0" w:color="auto"/>
        <w:bottom w:val="none" w:sz="0" w:space="0" w:color="auto"/>
        <w:right w:val="none" w:sz="0" w:space="0" w:color="auto"/>
      </w:divBdr>
    </w:div>
    <w:div w:id="1279798051">
      <w:bodyDiv w:val="1"/>
      <w:marLeft w:val="0"/>
      <w:marRight w:val="0"/>
      <w:marTop w:val="0"/>
      <w:marBottom w:val="0"/>
      <w:divBdr>
        <w:top w:val="none" w:sz="0" w:space="0" w:color="auto"/>
        <w:left w:val="none" w:sz="0" w:space="0" w:color="auto"/>
        <w:bottom w:val="none" w:sz="0" w:space="0" w:color="auto"/>
        <w:right w:val="none" w:sz="0" w:space="0" w:color="auto"/>
      </w:divBdr>
    </w:div>
    <w:div w:id="208548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utikad@utikad.org.tr" TargetMode="External"/><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Belge" ma:contentTypeID="0x010100538AE2069DA1FC468B6D4D47E505FBE8" ma:contentTypeVersion="13" ma:contentTypeDescription="Yeni belge oluşturun." ma:contentTypeScope="" ma:versionID="c27bb97f736c8e0b5da3f5c15079845d">
  <xsd:schema xmlns:xsd="http://www.w3.org/2001/XMLSchema" xmlns:xs="http://www.w3.org/2001/XMLSchema" xmlns:p="http://schemas.microsoft.com/office/2006/metadata/properties" xmlns:ns2="fc6ff165-90ff-4a69-9e33-f19e16f5dfdd" xmlns:ns3="f2ab57cd-b5b7-4528-bfde-66323ac1d4cc" targetNamespace="http://schemas.microsoft.com/office/2006/metadata/properties" ma:root="true" ma:fieldsID="9717005e51eec42fb4805b2c1d3ba049" ns2:_="" ns3:_="">
    <xsd:import namespace="fc6ff165-90ff-4a69-9e33-f19e16f5dfdd"/>
    <xsd:import namespace="f2ab57cd-b5b7-4528-bfde-66323ac1d4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6ff165-90ff-4a69-9e33-f19e16f5df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ab57cd-b5b7-4528-bfde-66323ac1d4cc" elementFormDefault="qualified">
    <xsd:import namespace="http://schemas.microsoft.com/office/2006/documentManagement/types"/>
    <xsd:import namespace="http://schemas.microsoft.com/office/infopath/2007/PartnerControls"/>
    <xsd:element name="SharedWithUsers" ma:index="18"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890C3A-D04E-407A-BB5E-29BFA30CF986}">
  <ds:schemaRefs>
    <ds:schemaRef ds:uri="http://schemas.microsoft.com/sharepoint/v3/contenttype/forms"/>
  </ds:schemaRefs>
</ds:datastoreItem>
</file>

<file path=customXml/itemProps2.xml><?xml version="1.0" encoding="utf-8"?>
<ds:datastoreItem xmlns:ds="http://schemas.openxmlformats.org/officeDocument/2006/customXml" ds:itemID="{91A0BAD3-935B-4F01-AD55-9F0B7A12DB4E}">
  <ds:schemaRefs>
    <ds:schemaRef ds:uri="http://schemas.openxmlformats.org/officeDocument/2006/bibliography"/>
  </ds:schemaRefs>
</ds:datastoreItem>
</file>

<file path=customXml/itemProps3.xml><?xml version="1.0" encoding="utf-8"?>
<ds:datastoreItem xmlns:ds="http://schemas.openxmlformats.org/officeDocument/2006/customXml" ds:itemID="{FD57100B-7373-4F1A-B4E5-C92461FE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6ff165-90ff-4a69-9e33-f19e16f5dfdd"/>
    <ds:schemaRef ds:uri="f2ab57cd-b5b7-4528-bfde-66323ac1d4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C2F95E-340F-443B-8D19-418C7A7EA02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716</Words>
  <Characters>4083</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Yusuf BALİ</dc:creator>
  <cp:lastModifiedBy>Melis GÜVEN</cp:lastModifiedBy>
  <cp:revision>14</cp:revision>
  <cp:lastPrinted>2020-09-25T05:52:00Z</cp:lastPrinted>
  <dcterms:created xsi:type="dcterms:W3CDTF">2021-11-04T06:21:00Z</dcterms:created>
  <dcterms:modified xsi:type="dcterms:W3CDTF">2022-02-23T11:42:00Z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0x010100538AE2069DA1FC468B6D4D47E505FBE8</vt:lpwstr>
  </property>
</Properties>
</file>