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2DEE5" w14:textId="77777777" w:rsidR="00CF2AFE" w:rsidRDefault="00CF2AFE" w:rsidP="00F37AAC">
      <w:pPr>
        <w:spacing w:after="0"/>
      </w:pPr>
    </w:p>
    <w:p w14:paraId="00BDC5CC" w14:textId="77777777" w:rsidR="00CF2AFE" w:rsidRDefault="00CF2AFE" w:rsidP="00F37AAC">
      <w:pPr>
        <w:spacing w:after="0"/>
      </w:pPr>
    </w:p>
    <w:p w14:paraId="0B59C4FB" w14:textId="77777777" w:rsidR="00F37AAC" w:rsidRPr="003A4B1F" w:rsidRDefault="00F37AAC" w:rsidP="00F37AAC">
      <w:pPr>
        <w:spacing w:after="0"/>
        <w:ind w:left="7080"/>
        <w:rPr>
          <w:rFonts w:ascii="Arial" w:hAnsi="Arial" w:cs="Arial"/>
          <w:color w:val="000000" w:themeColor="text1"/>
          <w:sz w:val="24"/>
          <w:szCs w:val="24"/>
        </w:rPr>
      </w:pPr>
      <w:r w:rsidRPr="003A4B1F">
        <w:rPr>
          <w:rFonts w:ascii="Arial" w:hAnsi="Arial" w:cs="Arial"/>
          <w:color w:val="000000" w:themeColor="text1"/>
          <w:sz w:val="24"/>
          <w:szCs w:val="24"/>
        </w:rPr>
        <w:t xml:space="preserve">    </w:t>
      </w:r>
    </w:p>
    <w:p w14:paraId="0DE6888F" w14:textId="77777777" w:rsidR="00812502" w:rsidRDefault="00812502" w:rsidP="00812502">
      <w:pPr>
        <w:spacing w:after="0"/>
      </w:pPr>
    </w:p>
    <w:p w14:paraId="60119DD7" w14:textId="6DEF7673" w:rsidR="00812502" w:rsidRDefault="00812502" w:rsidP="00812502">
      <w:pPr>
        <w:spacing w:after="0"/>
        <w:rPr>
          <w:rFonts w:ascii="Arial" w:hAnsi="Arial" w:cs="Arial"/>
          <w:sz w:val="24"/>
          <w:szCs w:val="24"/>
        </w:rPr>
      </w:pP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t xml:space="preserve">                                                    </w:t>
      </w:r>
      <w:r w:rsidRPr="00C4346A">
        <w:rPr>
          <w:rFonts w:ascii="Arial" w:hAnsi="Arial" w:cs="Arial"/>
          <w:sz w:val="24"/>
          <w:szCs w:val="24"/>
        </w:rPr>
        <w:tab/>
      </w:r>
      <w:r w:rsidRPr="007D42BB">
        <w:rPr>
          <w:rFonts w:ascii="Arial" w:hAnsi="Arial" w:cs="Arial"/>
          <w:color w:val="auto"/>
          <w:sz w:val="24"/>
          <w:szCs w:val="24"/>
        </w:rPr>
        <w:t xml:space="preserve">               </w:t>
      </w:r>
      <w:r w:rsidR="007D42BB" w:rsidRPr="007D42BB">
        <w:rPr>
          <w:rFonts w:ascii="Arial" w:hAnsi="Arial" w:cs="Arial"/>
          <w:color w:val="auto"/>
          <w:sz w:val="24"/>
          <w:szCs w:val="24"/>
        </w:rPr>
        <w:t>İ</w:t>
      </w:r>
      <w:r w:rsidRPr="007D42BB">
        <w:rPr>
          <w:rFonts w:ascii="Arial" w:hAnsi="Arial" w:cs="Arial"/>
          <w:color w:val="auto"/>
          <w:sz w:val="24"/>
          <w:szCs w:val="24"/>
        </w:rPr>
        <w:t xml:space="preserve">stanbul, </w:t>
      </w:r>
      <w:r w:rsidR="00997481">
        <w:rPr>
          <w:rFonts w:ascii="Arial" w:hAnsi="Arial" w:cs="Arial"/>
          <w:color w:val="auto"/>
          <w:sz w:val="24"/>
          <w:szCs w:val="24"/>
        </w:rPr>
        <w:t>22</w:t>
      </w:r>
      <w:r w:rsidRPr="007D42BB">
        <w:rPr>
          <w:rFonts w:ascii="Arial" w:hAnsi="Arial" w:cs="Arial"/>
          <w:color w:val="auto"/>
          <w:sz w:val="24"/>
          <w:szCs w:val="24"/>
        </w:rPr>
        <w:t>.</w:t>
      </w:r>
      <w:r w:rsidR="005767DD">
        <w:rPr>
          <w:rFonts w:ascii="Arial" w:hAnsi="Arial" w:cs="Arial"/>
          <w:color w:val="auto"/>
          <w:sz w:val="24"/>
          <w:szCs w:val="24"/>
        </w:rPr>
        <w:t>0</w:t>
      </w:r>
      <w:r w:rsidR="009D707B">
        <w:rPr>
          <w:rFonts w:ascii="Arial" w:hAnsi="Arial" w:cs="Arial"/>
          <w:color w:val="auto"/>
          <w:sz w:val="24"/>
          <w:szCs w:val="24"/>
        </w:rPr>
        <w:t>1</w:t>
      </w:r>
      <w:r w:rsidRPr="007D42BB">
        <w:rPr>
          <w:rFonts w:ascii="Arial" w:hAnsi="Arial" w:cs="Arial"/>
          <w:color w:val="auto"/>
          <w:sz w:val="24"/>
          <w:szCs w:val="24"/>
        </w:rPr>
        <w:t>.20</w:t>
      </w:r>
      <w:r w:rsidR="005767DD">
        <w:rPr>
          <w:rFonts w:ascii="Arial" w:hAnsi="Arial" w:cs="Arial"/>
          <w:color w:val="auto"/>
          <w:sz w:val="24"/>
          <w:szCs w:val="24"/>
        </w:rPr>
        <w:t>20</w:t>
      </w:r>
    </w:p>
    <w:p w14:paraId="1EE13908" w14:textId="77777777" w:rsidR="00812502" w:rsidRPr="00C4346A" w:rsidRDefault="00812502" w:rsidP="00812502">
      <w:pPr>
        <w:spacing w:after="0"/>
        <w:rPr>
          <w:rFonts w:ascii="Arial" w:hAnsi="Arial" w:cs="Arial"/>
          <w:sz w:val="24"/>
          <w:szCs w:val="24"/>
        </w:rPr>
      </w:pPr>
    </w:p>
    <w:p w14:paraId="4155A3B3" w14:textId="65D29BAB" w:rsidR="00812502" w:rsidRPr="00A96B00" w:rsidRDefault="00812502" w:rsidP="00812502">
      <w:pPr>
        <w:shd w:val="clear" w:color="auto" w:fill="FFFFFF"/>
        <w:spacing w:after="0" w:line="240" w:lineRule="atLeast"/>
        <w:contextualSpacing/>
        <w:jc w:val="center"/>
        <w:rPr>
          <w:rFonts w:ascii="Arial" w:hAnsi="Arial" w:cs="Arial"/>
          <w:b/>
          <w:color w:val="FF0000"/>
          <w:sz w:val="36"/>
          <w:szCs w:val="36"/>
        </w:rPr>
      </w:pPr>
      <w:r w:rsidRPr="007D42BB">
        <w:rPr>
          <w:rFonts w:ascii="Arial" w:hAnsi="Arial" w:cs="Arial"/>
          <w:b/>
          <w:color w:val="C0504D" w:themeColor="accent2"/>
          <w:sz w:val="36"/>
          <w:szCs w:val="36"/>
        </w:rPr>
        <w:t>BASIN BÜLTENİ – 20</w:t>
      </w:r>
      <w:r w:rsidR="005767DD">
        <w:rPr>
          <w:rFonts w:ascii="Arial" w:hAnsi="Arial" w:cs="Arial"/>
          <w:b/>
          <w:color w:val="C0504D" w:themeColor="accent2"/>
          <w:sz w:val="36"/>
          <w:szCs w:val="36"/>
        </w:rPr>
        <w:t>20</w:t>
      </w:r>
    </w:p>
    <w:p w14:paraId="0D75E1EC" w14:textId="78E226F6" w:rsidR="00812502" w:rsidRDefault="00812502" w:rsidP="00812502">
      <w:pPr>
        <w:rPr>
          <w:rFonts w:ascii="Arial" w:hAnsi="Arial" w:cs="Arial"/>
          <w:b/>
          <w:sz w:val="22"/>
          <w:szCs w:val="22"/>
        </w:rPr>
      </w:pPr>
    </w:p>
    <w:p w14:paraId="16FDA85A" w14:textId="77777777" w:rsidR="005E2AA7" w:rsidRDefault="005E2AA7" w:rsidP="00812502">
      <w:pPr>
        <w:rPr>
          <w:rFonts w:ascii="Arial" w:hAnsi="Arial" w:cs="Arial"/>
          <w:b/>
          <w:sz w:val="22"/>
          <w:szCs w:val="22"/>
        </w:rPr>
      </w:pPr>
    </w:p>
    <w:p w14:paraId="5A2F5376" w14:textId="225ED3BB" w:rsidR="00FA68BE" w:rsidRPr="00FA68BE" w:rsidRDefault="00FA68BE" w:rsidP="00812502">
      <w:pPr>
        <w:rPr>
          <w:rFonts w:ascii="Arial" w:hAnsi="Arial" w:cs="Arial"/>
          <w:b/>
          <w:color w:val="000000" w:themeColor="text1"/>
          <w:sz w:val="22"/>
          <w:szCs w:val="22"/>
        </w:rPr>
      </w:pPr>
      <w:r>
        <w:rPr>
          <w:rFonts w:ascii="Arial" w:hAnsi="Arial" w:cs="Arial"/>
          <w:b/>
          <w:color w:val="000000" w:themeColor="text1"/>
          <w:sz w:val="22"/>
          <w:szCs w:val="22"/>
        </w:rPr>
        <w:t xml:space="preserve">    </w:t>
      </w:r>
      <w:r w:rsidRPr="00FA68BE">
        <w:rPr>
          <w:rFonts w:ascii="Arial" w:hAnsi="Arial" w:cs="Arial"/>
          <w:b/>
          <w:color w:val="000000" w:themeColor="text1"/>
          <w:sz w:val="22"/>
          <w:szCs w:val="22"/>
        </w:rPr>
        <w:t>UTİKAD LOJİSTİK SEKTÖRÜ RAPORU-2019’DA DİKKAT ÇEKEN ANALİZLER YER ALDI</w:t>
      </w:r>
    </w:p>
    <w:p w14:paraId="199B9E66" w14:textId="77777777" w:rsidR="00652765" w:rsidRPr="005767DD" w:rsidRDefault="00652765" w:rsidP="005767DD">
      <w:pPr>
        <w:spacing w:after="160" w:line="259" w:lineRule="auto"/>
        <w:ind w:left="1416"/>
        <w:jc w:val="both"/>
        <w:rPr>
          <w:rFonts w:ascii="Arial" w:eastAsia="Calibri" w:hAnsi="Arial" w:cs="Arial"/>
          <w:b/>
          <w:bCs/>
          <w:color w:val="auto"/>
          <w:kern w:val="0"/>
          <w:sz w:val="22"/>
          <w:szCs w:val="22"/>
          <w:lang w:eastAsia="en-US"/>
        </w:rPr>
      </w:pPr>
    </w:p>
    <w:p w14:paraId="3089374F" w14:textId="1AD0170E" w:rsidR="00FA68BE" w:rsidRPr="00FA68BE" w:rsidRDefault="00FA68BE" w:rsidP="00844F4B">
      <w:pPr>
        <w:spacing w:after="160" w:line="259" w:lineRule="auto"/>
        <w:jc w:val="center"/>
        <w:rPr>
          <w:rFonts w:ascii="Arial" w:eastAsia="Calibri" w:hAnsi="Arial" w:cs="Arial"/>
          <w:b/>
          <w:bCs/>
          <w:color w:val="auto"/>
          <w:kern w:val="0"/>
          <w:sz w:val="22"/>
          <w:szCs w:val="22"/>
          <w:lang w:eastAsia="en-US"/>
        </w:rPr>
      </w:pPr>
      <w:r w:rsidRPr="00FA68BE">
        <w:rPr>
          <w:rFonts w:ascii="Arial" w:eastAsia="Calibri" w:hAnsi="Arial" w:cs="Arial"/>
          <w:b/>
          <w:bCs/>
          <w:color w:val="auto"/>
          <w:kern w:val="0"/>
          <w:sz w:val="22"/>
          <w:szCs w:val="22"/>
          <w:lang w:eastAsia="en-US"/>
        </w:rPr>
        <w:t>Uluslararası Taşımacılık ve Lojistik Hizmet Üretenleri Derneği UTİKAD, sektöre damga vuracak bir rapor yayınladı. UTİKAD Sektörel İlişkiler Departmanı’nın bilgi birikimi ve tecrübeleri ışığında hazırlanan rapor Sektörel İlişkiler Müdürü Alperen Güler imzasını taşıyor.</w:t>
      </w:r>
    </w:p>
    <w:p w14:paraId="1B1B8C5F" w14:textId="3C11417D" w:rsidR="00FA68BE" w:rsidRPr="00FA68BE" w:rsidRDefault="00FA68BE" w:rsidP="00844F4B">
      <w:pPr>
        <w:spacing w:after="160" w:line="259" w:lineRule="auto"/>
        <w:jc w:val="center"/>
        <w:rPr>
          <w:rFonts w:ascii="Arial" w:eastAsia="Calibri" w:hAnsi="Arial" w:cs="Arial"/>
          <w:b/>
          <w:bCs/>
          <w:color w:val="auto"/>
          <w:kern w:val="0"/>
          <w:sz w:val="22"/>
          <w:szCs w:val="22"/>
          <w:lang w:eastAsia="en-US"/>
        </w:rPr>
      </w:pPr>
      <w:r w:rsidRPr="00FA68BE">
        <w:rPr>
          <w:rFonts w:ascii="Arial" w:eastAsia="Calibri" w:hAnsi="Arial" w:cs="Arial"/>
          <w:b/>
          <w:bCs/>
          <w:color w:val="auto"/>
          <w:kern w:val="0"/>
          <w:sz w:val="22"/>
          <w:szCs w:val="22"/>
          <w:lang w:eastAsia="en-US"/>
        </w:rPr>
        <w:t xml:space="preserve">Küresel lojistikten hareketle Türk lojistik sektörünün son yıllardaki gelişiminin istatistiksel verilerle taşıma modları bazında incelendiği UTİKAD Lojistik Sektörü Raporu 2019’da </w:t>
      </w:r>
      <w:proofErr w:type="spellStart"/>
      <w:r w:rsidRPr="00FA68BE">
        <w:rPr>
          <w:rFonts w:ascii="Arial" w:eastAsia="Calibri" w:hAnsi="Arial" w:cs="Arial"/>
          <w:b/>
          <w:bCs/>
          <w:color w:val="auto"/>
          <w:kern w:val="0"/>
          <w:sz w:val="22"/>
          <w:szCs w:val="22"/>
          <w:lang w:eastAsia="en-US"/>
        </w:rPr>
        <w:t>Brexit’ten</w:t>
      </w:r>
      <w:proofErr w:type="spellEnd"/>
      <w:r w:rsidRPr="00FA68BE">
        <w:rPr>
          <w:rFonts w:ascii="Arial" w:eastAsia="Calibri" w:hAnsi="Arial" w:cs="Arial"/>
          <w:b/>
          <w:bCs/>
          <w:color w:val="auto"/>
          <w:kern w:val="0"/>
          <w:sz w:val="22"/>
          <w:szCs w:val="22"/>
          <w:lang w:eastAsia="en-US"/>
        </w:rPr>
        <w:t xml:space="preserve"> uluslararası endekslere kadar sektörü etkileyen önemli unsurlara yer verildi.</w:t>
      </w:r>
    </w:p>
    <w:p w14:paraId="0AE4D49C" w14:textId="77777777" w:rsidR="00FA68BE" w:rsidRPr="00FA68BE" w:rsidRDefault="00FA68BE" w:rsidP="00844F4B">
      <w:pPr>
        <w:spacing w:after="160" w:line="259" w:lineRule="auto"/>
        <w:jc w:val="both"/>
        <w:rPr>
          <w:rFonts w:ascii="Arial" w:eastAsia="Calibri" w:hAnsi="Arial" w:cs="Arial"/>
          <w:color w:val="auto"/>
          <w:kern w:val="0"/>
          <w:sz w:val="22"/>
          <w:szCs w:val="22"/>
          <w:lang w:eastAsia="en-US"/>
        </w:rPr>
      </w:pPr>
      <w:r w:rsidRPr="00FA68BE">
        <w:rPr>
          <w:rFonts w:ascii="Arial" w:eastAsia="Calibri" w:hAnsi="Arial" w:cs="Arial"/>
          <w:color w:val="auto"/>
          <w:kern w:val="0"/>
          <w:sz w:val="22"/>
          <w:szCs w:val="22"/>
          <w:lang w:eastAsia="en-US"/>
        </w:rPr>
        <w:t xml:space="preserve">9 Ocak 2020 tarihinde düzenlenen UTİKAD Geleneksel Basın Toplantısı’nda kamuoyu ile paylaşılan raporun sunumunu UTİKAD Sektörel İlişkiler Müdürü Alperen Güler gerçekleştirdi. İşte Türkiye lojistik sektörünün temel çerçevesini çizmek, sektör paydaşları, üniversiteler ve basın kuruluşları için sektöre yönelik referans kaynağı olmak, Türkiye’nin dış ticaretinde taşıma </w:t>
      </w:r>
      <w:proofErr w:type="spellStart"/>
      <w:r w:rsidRPr="00FA68BE">
        <w:rPr>
          <w:rFonts w:ascii="Arial" w:eastAsia="Calibri" w:hAnsi="Arial" w:cs="Arial"/>
          <w:color w:val="auto"/>
          <w:kern w:val="0"/>
          <w:sz w:val="22"/>
          <w:szCs w:val="22"/>
          <w:lang w:eastAsia="en-US"/>
        </w:rPr>
        <w:t>modlarının</w:t>
      </w:r>
      <w:proofErr w:type="spellEnd"/>
      <w:r w:rsidRPr="00FA68BE">
        <w:rPr>
          <w:rFonts w:ascii="Arial" w:eastAsia="Calibri" w:hAnsi="Arial" w:cs="Arial"/>
          <w:color w:val="auto"/>
          <w:kern w:val="0"/>
          <w:sz w:val="22"/>
          <w:szCs w:val="22"/>
          <w:lang w:eastAsia="en-US"/>
        </w:rPr>
        <w:t xml:space="preserve"> payı ve gelişimine yönelik bilgi vermek amacıyla hazırlanan raporda öne çıkan başlıklar: </w:t>
      </w:r>
    </w:p>
    <w:p w14:paraId="07BD0BB7" w14:textId="77777777" w:rsidR="00FA68BE" w:rsidRPr="00FA68BE" w:rsidRDefault="00FA68BE" w:rsidP="00844F4B">
      <w:pPr>
        <w:spacing w:after="160" w:line="259" w:lineRule="auto"/>
        <w:jc w:val="both"/>
        <w:rPr>
          <w:rFonts w:ascii="Arial" w:eastAsia="Calibri" w:hAnsi="Arial" w:cs="Arial"/>
          <w:b/>
          <w:bCs/>
          <w:color w:val="auto"/>
          <w:kern w:val="0"/>
          <w:sz w:val="22"/>
          <w:szCs w:val="22"/>
          <w:lang w:eastAsia="en-US"/>
        </w:rPr>
      </w:pPr>
      <w:r w:rsidRPr="00FA68BE">
        <w:rPr>
          <w:rFonts w:ascii="Arial" w:eastAsia="Calibri" w:hAnsi="Arial" w:cs="Arial"/>
          <w:b/>
          <w:bCs/>
          <w:color w:val="auto"/>
          <w:kern w:val="0"/>
          <w:sz w:val="22"/>
          <w:szCs w:val="22"/>
          <w:lang w:eastAsia="en-US"/>
        </w:rPr>
        <w:t>BREXİT NEDEN ÖNEMLİ?</w:t>
      </w:r>
    </w:p>
    <w:p w14:paraId="7A7710F1" w14:textId="77777777" w:rsidR="00FA68BE" w:rsidRPr="00FA68BE" w:rsidRDefault="00FA68BE" w:rsidP="00844F4B">
      <w:pPr>
        <w:spacing w:after="160" w:line="259" w:lineRule="auto"/>
        <w:jc w:val="both"/>
        <w:rPr>
          <w:rFonts w:ascii="Arial" w:eastAsia="Calibri" w:hAnsi="Arial" w:cs="Arial"/>
          <w:color w:val="auto"/>
          <w:kern w:val="0"/>
          <w:sz w:val="22"/>
          <w:szCs w:val="22"/>
          <w:lang w:eastAsia="en-US"/>
        </w:rPr>
      </w:pPr>
      <w:r w:rsidRPr="00FA68BE">
        <w:rPr>
          <w:rFonts w:ascii="Arial" w:eastAsia="Calibri" w:hAnsi="Arial" w:cs="Arial"/>
          <w:color w:val="auto"/>
          <w:kern w:val="0"/>
          <w:sz w:val="22"/>
          <w:szCs w:val="22"/>
          <w:lang w:eastAsia="en-US"/>
        </w:rPr>
        <w:t xml:space="preserve">Brexit adıyla anılan, İngiltere’nin Avrupa Birliği’nden ayrılma süreci bizim için neden önemli? Avrupa Birliği çoğu zaman bir siyasi yapı olarak karşımıza çıkıyor ancak burada aslında ortak bir pazar ve gümrük birliği söz konusu. İngiltere’nin bu birlikten ayrılması Avrupa Birliği nezdinde İngiltere’yi üçüncü ülke konumuna düşürecek. Bu durum, daha önce AB üyeliği imtiyazlarından yararlanan binlerce dış ticaret ve lojistik firmasının İngiltere ile ticaret yaparken yeni kurallara ayak uydurması gerektiği anlamına geliyor. Yani aslında İngiltere ile gümrük prosedürleri, gümrük vergileri, ithalat ihracat beyanları gibi konularda hem AB ülkelerindeki ticari partnerler hem de Türkiye’deki ticari partnerler için yeni uygulamalar söz konusu olabilecek. Bu duruma Türkiye özelinde baktığımızda Türkiye’nin İngiltere ile 15 milyon dolarlık ticaret hacmi ve bu hacim içerisinde de 5 milyar dolar ticaret fazlası söz konusu. Söz konusu hacmin korunması ve artırılmasında Türkiye’deki yerel dış ticaret ve lojistik sektörü tarafından Brexit sürecinin daha yakın takibi önem arz ediyor. </w:t>
      </w:r>
    </w:p>
    <w:p w14:paraId="44D1E6DC" w14:textId="77777777" w:rsidR="00FA68BE" w:rsidRPr="00FA68BE" w:rsidRDefault="00FA68BE" w:rsidP="00844F4B">
      <w:pPr>
        <w:spacing w:after="160" w:line="259" w:lineRule="auto"/>
        <w:jc w:val="both"/>
        <w:rPr>
          <w:rFonts w:ascii="Arial" w:eastAsia="Calibri" w:hAnsi="Arial" w:cs="Arial"/>
          <w:b/>
          <w:bCs/>
          <w:color w:val="auto"/>
          <w:kern w:val="0"/>
          <w:sz w:val="22"/>
          <w:szCs w:val="22"/>
          <w:lang w:eastAsia="en-US"/>
        </w:rPr>
      </w:pPr>
      <w:r w:rsidRPr="00FA68BE">
        <w:rPr>
          <w:rFonts w:ascii="Arial" w:eastAsia="Calibri" w:hAnsi="Arial" w:cs="Arial"/>
          <w:b/>
          <w:bCs/>
          <w:color w:val="auto"/>
          <w:kern w:val="0"/>
          <w:sz w:val="22"/>
          <w:szCs w:val="22"/>
          <w:lang w:eastAsia="en-US"/>
        </w:rPr>
        <w:t>ABD-ÇİN TİCARET SAVAŞLARI</w:t>
      </w:r>
    </w:p>
    <w:p w14:paraId="15AD16C6" w14:textId="77777777" w:rsidR="00844F4B" w:rsidRDefault="00FA68BE" w:rsidP="00844F4B">
      <w:pPr>
        <w:spacing w:after="160" w:line="259" w:lineRule="auto"/>
        <w:jc w:val="both"/>
        <w:rPr>
          <w:rFonts w:ascii="Arial" w:eastAsia="Calibri" w:hAnsi="Arial" w:cs="Arial"/>
          <w:color w:val="auto"/>
          <w:kern w:val="0"/>
          <w:sz w:val="22"/>
          <w:szCs w:val="22"/>
          <w:lang w:eastAsia="en-US"/>
        </w:rPr>
      </w:pPr>
      <w:r w:rsidRPr="00FA68BE">
        <w:rPr>
          <w:rFonts w:ascii="Arial" w:eastAsia="Calibri" w:hAnsi="Arial" w:cs="Arial"/>
          <w:color w:val="auto"/>
          <w:kern w:val="0"/>
          <w:sz w:val="22"/>
          <w:szCs w:val="22"/>
          <w:lang w:eastAsia="en-US"/>
        </w:rPr>
        <w:t xml:space="preserve">ABD ve Çin arasında ticaret savaşları olarak tanımlanan süreç aslında iki ülkenin birbirinden ithal ettiği ürünlere uyguladıkları ek vergilerden oluşuyor. Çin, ABD’den yaptığı ithalatın iki katından </w:t>
      </w:r>
    </w:p>
    <w:p w14:paraId="7D741CCB" w14:textId="77777777" w:rsidR="00844F4B" w:rsidRDefault="00844F4B" w:rsidP="00844F4B">
      <w:pPr>
        <w:spacing w:after="160" w:line="259" w:lineRule="auto"/>
        <w:jc w:val="both"/>
        <w:rPr>
          <w:rFonts w:ascii="Arial" w:eastAsia="Calibri" w:hAnsi="Arial" w:cs="Arial"/>
          <w:color w:val="auto"/>
          <w:kern w:val="0"/>
          <w:sz w:val="22"/>
          <w:szCs w:val="22"/>
          <w:lang w:eastAsia="en-US"/>
        </w:rPr>
      </w:pPr>
    </w:p>
    <w:p w14:paraId="439262C2" w14:textId="6A818AE9" w:rsidR="00FA68BE" w:rsidRPr="00FA68BE" w:rsidRDefault="00FA68BE" w:rsidP="00844F4B">
      <w:pPr>
        <w:spacing w:after="160" w:line="259" w:lineRule="auto"/>
        <w:jc w:val="both"/>
        <w:rPr>
          <w:rFonts w:ascii="Arial" w:eastAsia="Calibri" w:hAnsi="Arial" w:cs="Arial"/>
          <w:color w:val="auto"/>
          <w:kern w:val="0"/>
          <w:sz w:val="22"/>
          <w:szCs w:val="22"/>
          <w:lang w:eastAsia="en-US"/>
        </w:rPr>
      </w:pPr>
      <w:proofErr w:type="gramStart"/>
      <w:r w:rsidRPr="00FA68BE">
        <w:rPr>
          <w:rFonts w:ascii="Arial" w:eastAsia="Calibri" w:hAnsi="Arial" w:cs="Arial"/>
          <w:color w:val="auto"/>
          <w:kern w:val="0"/>
          <w:sz w:val="22"/>
          <w:szCs w:val="22"/>
          <w:lang w:eastAsia="en-US"/>
        </w:rPr>
        <w:t>fazlasını</w:t>
      </w:r>
      <w:proofErr w:type="gramEnd"/>
      <w:r w:rsidRPr="00FA68BE">
        <w:rPr>
          <w:rFonts w:ascii="Arial" w:eastAsia="Calibri" w:hAnsi="Arial" w:cs="Arial"/>
          <w:color w:val="auto"/>
          <w:kern w:val="0"/>
          <w:sz w:val="22"/>
          <w:szCs w:val="22"/>
          <w:lang w:eastAsia="en-US"/>
        </w:rPr>
        <w:t xml:space="preserve"> ABD’ye ihraç eden bir ülke konumunda karşımıza çıkıyor. İki ülke arasında ürün odaklı ticaret savaşı ürünlere sunulan hizmeti de etkileme potansiyeline sahip. Geçtiğimiz yılın Kasım-Aralık aylarında bu ticaret savaşı olarak adlandırabileceğimiz süreçte birtakım yumuşamalar görüldü. Örneğin Çin, birkaç ithal malına getirmiş olduğu ekstra tarifeleri aşağıya çekti. Ancak bu sürecin herhangi bir esneklik göstermeden devam etmesi, Çin’in kendilerini üretim üssü olarak kabul eden ve küresel tedarik zinciri yapılandırmasını bu kabule göre kurgulayan özellikle teknoloji ve giyim firmalarının tedarik zinciri yapılarını yeniden dizayn etmek zorunda bırakabilecek. Tabi Çin özelinde bahsederken mutlaka Kuşak ve Yol girişiminden de bahsetmek gerekiyor. Çin 2013 yılında aldığı inisiyatif ile 1 trilyon ABD doları değerinde 3 milyar insan nüfusunu ve 65 ülkeyi kapsayan Kuşak ve yol girişimini başlattı. Proje sayesinde demiryolu, karayolu ve denizyolu ile ürünler Çin, Asya, Avrupa ve Afrika ülkelerine daha rekabetçi maliyetler ile taşınabilecek.</w:t>
      </w:r>
    </w:p>
    <w:p w14:paraId="61E38856" w14:textId="77777777" w:rsidR="00FA68BE" w:rsidRPr="00FA68BE" w:rsidRDefault="00FA68BE" w:rsidP="00844F4B">
      <w:pPr>
        <w:spacing w:after="160" w:line="259" w:lineRule="auto"/>
        <w:jc w:val="both"/>
        <w:rPr>
          <w:rFonts w:ascii="Arial" w:eastAsia="Calibri" w:hAnsi="Arial" w:cs="Arial"/>
          <w:color w:val="auto"/>
          <w:kern w:val="0"/>
          <w:sz w:val="22"/>
          <w:szCs w:val="22"/>
          <w:lang w:eastAsia="en-US"/>
        </w:rPr>
      </w:pPr>
      <w:r w:rsidRPr="00FA68BE">
        <w:rPr>
          <w:rFonts w:ascii="Arial" w:eastAsia="Calibri" w:hAnsi="Arial" w:cs="Arial"/>
          <w:color w:val="auto"/>
          <w:kern w:val="0"/>
          <w:sz w:val="22"/>
          <w:szCs w:val="22"/>
          <w:lang w:eastAsia="en-US"/>
        </w:rPr>
        <w:t xml:space="preserve">Kuşak ve Yol girişiminin etkisi kapsamında Çin tarafından yayınlanan birkaç veriyi de paylaşmak gerekiyor. 2019 yılının </w:t>
      </w:r>
      <w:proofErr w:type="gramStart"/>
      <w:r w:rsidRPr="00FA68BE">
        <w:rPr>
          <w:rFonts w:ascii="Arial" w:eastAsia="Calibri" w:hAnsi="Arial" w:cs="Arial"/>
          <w:color w:val="auto"/>
          <w:kern w:val="0"/>
          <w:sz w:val="22"/>
          <w:szCs w:val="22"/>
          <w:lang w:eastAsia="en-US"/>
        </w:rPr>
        <w:t>Temmuz</w:t>
      </w:r>
      <w:proofErr w:type="gramEnd"/>
      <w:r w:rsidRPr="00FA68BE">
        <w:rPr>
          <w:rFonts w:ascii="Arial" w:eastAsia="Calibri" w:hAnsi="Arial" w:cs="Arial"/>
          <w:color w:val="auto"/>
          <w:kern w:val="0"/>
          <w:sz w:val="22"/>
          <w:szCs w:val="22"/>
          <w:lang w:eastAsia="en-US"/>
        </w:rPr>
        <w:t xml:space="preserve"> ayına kadar olan dönem, bir önceki yılın aynı dönemiyle karşılaştırıldığında Çin; Birleşik Arap Emirlikleri ile olan ticaret hacmini %16.1, ASEAN ülkeleri ile %11.3, Avrupa ülkeleri ile %10.8, Rusya ile %9.8 ve Afrika ülkeleri ile %3 arttırdı. Bu kapsamda hem ABD-Çin arası ticari ilişkilerin akıbeti ile Kuşak ve Yol Girişimi’ne ait gelişmeler de küresel tedarik zincirinde kapsamlı yapısal değişimlerin gözlemlenmesinde etkili olabilecektir.</w:t>
      </w:r>
    </w:p>
    <w:p w14:paraId="70F23F9A" w14:textId="77777777" w:rsidR="00FA68BE" w:rsidRPr="00FA68BE" w:rsidRDefault="00FA68BE" w:rsidP="00844F4B">
      <w:pPr>
        <w:spacing w:after="160" w:line="259" w:lineRule="auto"/>
        <w:jc w:val="both"/>
        <w:rPr>
          <w:rFonts w:ascii="Arial" w:eastAsia="Calibri" w:hAnsi="Arial" w:cs="Arial"/>
          <w:b/>
          <w:bCs/>
          <w:color w:val="auto"/>
          <w:kern w:val="0"/>
          <w:sz w:val="22"/>
          <w:szCs w:val="22"/>
          <w:lang w:eastAsia="en-US"/>
        </w:rPr>
      </w:pPr>
      <w:r w:rsidRPr="00FA68BE">
        <w:rPr>
          <w:rFonts w:ascii="Arial" w:eastAsia="Calibri" w:hAnsi="Arial" w:cs="Arial"/>
          <w:b/>
          <w:bCs/>
          <w:color w:val="auto"/>
          <w:kern w:val="0"/>
          <w:sz w:val="22"/>
          <w:szCs w:val="22"/>
          <w:lang w:eastAsia="en-US"/>
        </w:rPr>
        <w:t>TİCARETİN KOLAYLAŞTIRILMASI ANLAŞMASI HÜKÜMLERİ TÜMÜYLE UYGULANIRSA İHRACAT SÜRESİ %91 ORANINDA AZALABİLİR</w:t>
      </w:r>
    </w:p>
    <w:p w14:paraId="187EFA86" w14:textId="77777777" w:rsidR="00FA68BE" w:rsidRPr="00FA68BE" w:rsidRDefault="00FA68BE" w:rsidP="00844F4B">
      <w:pPr>
        <w:spacing w:after="160" w:line="259" w:lineRule="auto"/>
        <w:jc w:val="both"/>
        <w:rPr>
          <w:rFonts w:ascii="Arial" w:eastAsia="Calibri" w:hAnsi="Arial" w:cs="Arial"/>
          <w:color w:val="auto"/>
          <w:kern w:val="0"/>
          <w:sz w:val="22"/>
          <w:szCs w:val="22"/>
          <w:lang w:eastAsia="en-US"/>
        </w:rPr>
      </w:pPr>
      <w:r w:rsidRPr="00FA68BE">
        <w:rPr>
          <w:rFonts w:ascii="Arial" w:eastAsia="Calibri" w:hAnsi="Arial" w:cs="Arial"/>
          <w:color w:val="auto"/>
          <w:kern w:val="0"/>
          <w:sz w:val="22"/>
          <w:szCs w:val="22"/>
          <w:lang w:eastAsia="en-US"/>
        </w:rPr>
        <w:t xml:space="preserve">Dünya Ticaret Örgütü’nün yaptığı bir araştırmaya göre; eğer ki Ticaretin Kolaylaştırılması Anlaşması’nın öngördüğü tüm hükümler uygulanırsa, dünyadaki ortalama ithalat süresinin %47 oranında yani neredeyse yarı yarıya, ihracat süresinin ise %91 oranında azalacağı tahmin ediliyor. Tabii süre anlamındaki bu iyileştirmelere ek olarak Ticaretin Kolaylaştırılması Anlaşması ile ticaretin </w:t>
      </w:r>
      <w:proofErr w:type="gramStart"/>
      <w:r w:rsidRPr="00FA68BE">
        <w:rPr>
          <w:rFonts w:ascii="Arial" w:eastAsia="Calibri" w:hAnsi="Arial" w:cs="Arial"/>
          <w:color w:val="auto"/>
          <w:kern w:val="0"/>
          <w:sz w:val="22"/>
          <w:szCs w:val="22"/>
          <w:lang w:eastAsia="en-US"/>
        </w:rPr>
        <w:t>%14.3</w:t>
      </w:r>
      <w:proofErr w:type="gramEnd"/>
      <w:r w:rsidRPr="00FA68BE">
        <w:rPr>
          <w:rFonts w:ascii="Arial" w:eastAsia="Calibri" w:hAnsi="Arial" w:cs="Arial"/>
          <w:color w:val="auto"/>
          <w:kern w:val="0"/>
          <w:sz w:val="22"/>
          <w:szCs w:val="22"/>
          <w:lang w:eastAsia="en-US"/>
        </w:rPr>
        <w:t xml:space="preserve"> oranında ucuzlaması da tahminler arasında. Küresel ticaretin ise yılda 1 trilyon ABD doları değerinde hacimsel büyümesi de yine tahminler arasında yer alıyor. Tabi Ticaretin Kolaylaştırılması Anlaşması hükümleri genellikle eşyaların hareketine yönelik olsa da uluslararası lojistiğin tüm bileşenleri ticaretin kolaylaştırılması amacıyla atılacak her adımın tam da ortasında yer alıyor. Devletler gümrük kapılarını kontrol ederek eşyaların hareketlerini kontrol edebildikleri gibi, lojistik sektörüne getirecekleri teşvikler, regülasyonlar, rekabet koşulları düzenlemeleri ile lojistik sektörünü de düzenlemektedirler. Bu bağlamda Ticaretin Kolaylaştırılması Anlaşmasının küresel başarısı çoğunlukla özel sektörün aktif olduğu lojistik sektörünün çerçevesini çizen kuralların da doğru kurgulanmasına ve uygulanmasına, yani lojistiğin de eşyaların serbest ve hızlı hareketini destekleyen ve mümkün kılan rol üstlenmesine dayanmaktadır. </w:t>
      </w:r>
    </w:p>
    <w:p w14:paraId="5A5D98A8" w14:textId="77777777" w:rsidR="00FA68BE" w:rsidRPr="00FA68BE" w:rsidRDefault="00FA68BE" w:rsidP="00844F4B">
      <w:pPr>
        <w:spacing w:after="160" w:line="259" w:lineRule="auto"/>
        <w:jc w:val="both"/>
        <w:rPr>
          <w:rFonts w:ascii="Arial" w:eastAsia="Calibri" w:hAnsi="Arial" w:cs="Arial"/>
          <w:b/>
          <w:bCs/>
          <w:color w:val="auto"/>
          <w:kern w:val="0"/>
          <w:sz w:val="22"/>
          <w:szCs w:val="22"/>
          <w:lang w:eastAsia="en-US"/>
        </w:rPr>
      </w:pPr>
      <w:r w:rsidRPr="00FA68BE">
        <w:rPr>
          <w:rFonts w:ascii="Arial" w:eastAsia="Calibri" w:hAnsi="Arial" w:cs="Arial"/>
          <w:b/>
          <w:bCs/>
          <w:color w:val="auto"/>
          <w:kern w:val="0"/>
          <w:sz w:val="22"/>
          <w:szCs w:val="22"/>
          <w:lang w:eastAsia="en-US"/>
        </w:rPr>
        <w:t>TAŞIMACILIK SEKTÖRÜ KÜRESEL SERA GAZI SALINIMLARININ %14’ÜNÜN KAYNAĞI</w:t>
      </w:r>
    </w:p>
    <w:p w14:paraId="53B644CA" w14:textId="77777777" w:rsidR="00FA68BE" w:rsidRPr="00FA68BE" w:rsidRDefault="00FA68BE" w:rsidP="00844F4B">
      <w:pPr>
        <w:spacing w:after="160" w:line="259" w:lineRule="auto"/>
        <w:jc w:val="both"/>
        <w:rPr>
          <w:rFonts w:ascii="Arial" w:eastAsia="Calibri" w:hAnsi="Arial" w:cs="Arial"/>
          <w:color w:val="auto"/>
          <w:kern w:val="0"/>
          <w:sz w:val="22"/>
          <w:szCs w:val="22"/>
          <w:lang w:eastAsia="en-US"/>
        </w:rPr>
      </w:pPr>
      <w:r w:rsidRPr="00FA68BE">
        <w:rPr>
          <w:rFonts w:ascii="Arial" w:eastAsia="Calibri" w:hAnsi="Arial" w:cs="Arial"/>
          <w:color w:val="auto"/>
          <w:kern w:val="0"/>
          <w:sz w:val="22"/>
          <w:szCs w:val="22"/>
          <w:lang w:eastAsia="en-US"/>
        </w:rPr>
        <w:t xml:space="preserve">Taşımacılık sektörü küresel sera gazı salınımlarının %14’ünün kaynağı olduğu için bu olumsuzlukların giderilmesine yönelik hem devletler hem de devlet üstü organlar tarafından çalışmalar sürdürülüyor. Örneğin Eylül ayında Almanya İklim Eylem Planı 2030’u açıkladı. Plana göre ulaşım ve yapı sektörlerinin emisyon salınımları fiyatlandırılacak, firmalar emisyon salınımları oranında devlete para ödeyecek. Buna ek olarak denizcilik sektörünün küresel-çevresel sorumluluğu çerçevesinde IMO 2020 olarak bilinen uygulama 1 Ocak itibarıyla yürürlüğe girdi. Bununla birlikte gemiler tarafından kullanılan akaryakıtın kükürt içeriğine </w:t>
      </w:r>
      <w:proofErr w:type="gramStart"/>
      <w:r w:rsidRPr="00FA68BE">
        <w:rPr>
          <w:rFonts w:ascii="Arial" w:eastAsia="Calibri" w:hAnsi="Arial" w:cs="Arial"/>
          <w:color w:val="auto"/>
          <w:kern w:val="0"/>
          <w:sz w:val="22"/>
          <w:szCs w:val="22"/>
          <w:lang w:eastAsia="en-US"/>
        </w:rPr>
        <w:t>%0.5</w:t>
      </w:r>
      <w:proofErr w:type="gramEnd"/>
      <w:r w:rsidRPr="00FA68BE">
        <w:rPr>
          <w:rFonts w:ascii="Arial" w:eastAsia="Calibri" w:hAnsi="Arial" w:cs="Arial"/>
          <w:color w:val="auto"/>
          <w:kern w:val="0"/>
          <w:sz w:val="22"/>
          <w:szCs w:val="22"/>
          <w:lang w:eastAsia="en-US"/>
        </w:rPr>
        <w:t xml:space="preserve"> oranında limit getirildi.</w:t>
      </w:r>
    </w:p>
    <w:p w14:paraId="4C372890" w14:textId="77777777" w:rsidR="00844F4B" w:rsidRDefault="00844F4B" w:rsidP="00844F4B">
      <w:pPr>
        <w:spacing w:after="160" w:line="259" w:lineRule="auto"/>
        <w:jc w:val="both"/>
        <w:rPr>
          <w:rFonts w:ascii="Arial" w:eastAsia="Calibri" w:hAnsi="Arial" w:cs="Arial"/>
          <w:b/>
          <w:bCs/>
          <w:color w:val="auto"/>
          <w:kern w:val="0"/>
          <w:sz w:val="22"/>
          <w:szCs w:val="22"/>
          <w:lang w:eastAsia="en-US"/>
        </w:rPr>
      </w:pPr>
    </w:p>
    <w:p w14:paraId="1279D878" w14:textId="06BAED88" w:rsidR="00FA68BE" w:rsidRPr="00FA68BE" w:rsidRDefault="00FA68BE" w:rsidP="00844F4B">
      <w:pPr>
        <w:spacing w:after="160" w:line="259" w:lineRule="auto"/>
        <w:jc w:val="both"/>
        <w:rPr>
          <w:rFonts w:ascii="Arial" w:eastAsia="Calibri" w:hAnsi="Arial" w:cs="Arial"/>
          <w:b/>
          <w:bCs/>
          <w:color w:val="auto"/>
          <w:kern w:val="0"/>
          <w:sz w:val="22"/>
          <w:szCs w:val="22"/>
          <w:lang w:eastAsia="en-US"/>
        </w:rPr>
      </w:pPr>
      <w:r w:rsidRPr="00FA68BE">
        <w:rPr>
          <w:rFonts w:ascii="Arial" w:eastAsia="Calibri" w:hAnsi="Arial" w:cs="Arial"/>
          <w:b/>
          <w:bCs/>
          <w:color w:val="auto"/>
          <w:kern w:val="0"/>
          <w:sz w:val="22"/>
          <w:szCs w:val="22"/>
          <w:lang w:eastAsia="en-US"/>
        </w:rPr>
        <w:t>KAMU YATIRIMLARINDAN EN FAZLA PAYI ULAŞTIRMA VE HABERLEŞME SEKTÖRÜ ALIYOR</w:t>
      </w:r>
    </w:p>
    <w:p w14:paraId="67723A53" w14:textId="77777777" w:rsidR="00FA68BE" w:rsidRPr="00FA68BE" w:rsidRDefault="00FA68BE" w:rsidP="00844F4B">
      <w:pPr>
        <w:spacing w:after="160" w:line="259" w:lineRule="auto"/>
        <w:jc w:val="both"/>
        <w:rPr>
          <w:rFonts w:ascii="Arial" w:eastAsia="Calibri" w:hAnsi="Arial" w:cs="Arial"/>
          <w:color w:val="auto"/>
          <w:kern w:val="0"/>
          <w:sz w:val="22"/>
          <w:szCs w:val="22"/>
          <w:lang w:eastAsia="en-US"/>
        </w:rPr>
      </w:pPr>
      <w:r w:rsidRPr="00FA68BE">
        <w:rPr>
          <w:rFonts w:ascii="Arial" w:eastAsia="Calibri" w:hAnsi="Arial" w:cs="Arial"/>
          <w:color w:val="auto"/>
          <w:kern w:val="0"/>
          <w:sz w:val="22"/>
          <w:szCs w:val="22"/>
          <w:lang w:eastAsia="en-US"/>
        </w:rPr>
        <w:t xml:space="preserve">2019 yılında her ne kadar 2018 yılına kıyasla kamu yatırımları bütçesinde bir azalma olduğu gözlemlense de kamu yatırımlarında yine en fazla ulaştırma ve haberleşme sektörlerine yatırım yapılmıştır. Bu arada Haberleşmenin payı yalnızca 152 milyon TL kadardır. Ulaştırma için ayrılmış bütçe ise </w:t>
      </w:r>
      <w:proofErr w:type="gramStart"/>
      <w:r w:rsidRPr="00FA68BE">
        <w:rPr>
          <w:rFonts w:ascii="Arial" w:eastAsia="Calibri" w:hAnsi="Arial" w:cs="Arial"/>
          <w:color w:val="auto"/>
          <w:kern w:val="0"/>
          <w:sz w:val="22"/>
          <w:szCs w:val="22"/>
          <w:lang w:eastAsia="en-US"/>
        </w:rPr>
        <w:t>20.1</w:t>
      </w:r>
      <w:proofErr w:type="gramEnd"/>
      <w:r w:rsidRPr="00FA68BE">
        <w:rPr>
          <w:rFonts w:ascii="Arial" w:eastAsia="Calibri" w:hAnsi="Arial" w:cs="Arial"/>
          <w:color w:val="auto"/>
          <w:kern w:val="0"/>
          <w:sz w:val="22"/>
          <w:szCs w:val="22"/>
          <w:lang w:eastAsia="en-US"/>
        </w:rPr>
        <w:t xml:space="preserve"> milyar TL tutarındadır. Bunun </w:t>
      </w:r>
      <w:proofErr w:type="gramStart"/>
      <w:r w:rsidRPr="00FA68BE">
        <w:rPr>
          <w:rFonts w:ascii="Arial" w:eastAsia="Calibri" w:hAnsi="Arial" w:cs="Arial"/>
          <w:color w:val="auto"/>
          <w:kern w:val="0"/>
          <w:sz w:val="22"/>
          <w:szCs w:val="22"/>
          <w:lang w:eastAsia="en-US"/>
        </w:rPr>
        <w:t>7.5</w:t>
      </w:r>
      <w:proofErr w:type="gramEnd"/>
      <w:r w:rsidRPr="00FA68BE">
        <w:rPr>
          <w:rFonts w:ascii="Arial" w:eastAsia="Calibri" w:hAnsi="Arial" w:cs="Arial"/>
          <w:color w:val="auto"/>
          <w:kern w:val="0"/>
          <w:sz w:val="22"/>
          <w:szCs w:val="22"/>
          <w:lang w:eastAsia="en-US"/>
        </w:rPr>
        <w:t xml:space="preserve"> milyar lirası demiryolu, 6.7 milyar lirası karayolu, 4.3 milyar lirası kent içi ulaşım, 1 milyar lirası havayolu için harcanması planlanmış durumdadır.</w:t>
      </w:r>
    </w:p>
    <w:p w14:paraId="24346DFA" w14:textId="77777777" w:rsidR="00FA68BE" w:rsidRPr="00FA68BE" w:rsidRDefault="00FA68BE" w:rsidP="00844F4B">
      <w:pPr>
        <w:spacing w:after="160" w:line="259" w:lineRule="auto"/>
        <w:jc w:val="both"/>
        <w:rPr>
          <w:rFonts w:ascii="Arial" w:eastAsia="Calibri" w:hAnsi="Arial" w:cs="Arial"/>
          <w:b/>
          <w:bCs/>
          <w:color w:val="auto"/>
          <w:kern w:val="0"/>
          <w:sz w:val="22"/>
          <w:szCs w:val="22"/>
          <w:lang w:eastAsia="en-US"/>
        </w:rPr>
      </w:pPr>
      <w:r w:rsidRPr="00FA68BE">
        <w:rPr>
          <w:rFonts w:ascii="Arial" w:eastAsia="Calibri" w:hAnsi="Arial" w:cs="Arial"/>
          <w:b/>
          <w:bCs/>
          <w:color w:val="auto"/>
          <w:kern w:val="0"/>
          <w:sz w:val="22"/>
          <w:szCs w:val="22"/>
          <w:lang w:eastAsia="en-US"/>
        </w:rPr>
        <w:t>LOJİSTİK SEKTÖRÜ BÜYÜKLÜĞÜ MERAK EDİLİYOR</w:t>
      </w:r>
    </w:p>
    <w:p w14:paraId="0A6BD1E9" w14:textId="77777777" w:rsidR="00FA68BE" w:rsidRPr="00FA68BE" w:rsidRDefault="00FA68BE" w:rsidP="00844F4B">
      <w:pPr>
        <w:spacing w:after="160" w:line="259" w:lineRule="auto"/>
        <w:jc w:val="both"/>
        <w:rPr>
          <w:rFonts w:ascii="Arial" w:eastAsia="Calibri" w:hAnsi="Arial" w:cs="Arial"/>
          <w:color w:val="auto"/>
          <w:kern w:val="0"/>
          <w:sz w:val="22"/>
          <w:szCs w:val="22"/>
          <w:lang w:eastAsia="en-US"/>
        </w:rPr>
      </w:pPr>
      <w:r w:rsidRPr="00FA68BE">
        <w:rPr>
          <w:rFonts w:ascii="Arial" w:eastAsia="Calibri" w:hAnsi="Arial" w:cs="Arial"/>
          <w:color w:val="auto"/>
          <w:kern w:val="0"/>
          <w:sz w:val="22"/>
          <w:szCs w:val="22"/>
          <w:lang w:eastAsia="en-US"/>
        </w:rPr>
        <w:t>Lojistik sektöründe merak edildiği kadar aslında ölçülmesi zor bir konu da lojistik sektörünün büyüklüğüdür. Ulaştırma ve Depolama faaliyet kolu sınıflandırması yolcu taşımacılığı faaliyetlerini de içerdiği için doğrudan yüke ilişkin olarak lojistik sektörün büyüklüğünü sunmakta yetersiz kalmaktadır. Bu sebeple lojistik sektörüne yönelik değerlendirmelerde büyük oranda varsayımlardan yola çıkılmaktadır. Gerek sektörde gerekse akademide kabul gören yaklaşım, lojistik sektörünün GSYH içerisinde yaklaşık olarak yüzde 12 oranında pay sahibi olmasıdır. Bu büyüklük içerisinde yüzde 50’nin doğrudan lojistik hizmet sağlayıcı firmaların faaliyetlerinden, diğer yüzde 50’nin ise mal ticareti yapan firmaların kendi bünyelerinde gerçekleştirdiği lojistik faaliyetlerden kaynaklandığı kabul edilmektedir. Bu kapsamda 2018 yılında GSYH 3 Trilyon 700 milyar 989 milyon TL’ydi. 2018 yılında lojistik sektörünün büyüklüğü 444 milyar TL olarak kabul edildi. 2019 yılı için GSYH verileri henüz açıklanmadı ama önümüzde yol gösterici olarak kabul edebileceğimiz bir tahmin bulunmaktadır. Sonbaharda yayınlanan Yeni Ekonomi Programı’n göre 2019 yılında GSYH 4 trilyon 269 milyar TL olarak tahmin edilmektedir. Bu kapsamda lojistik sektörünün büyüklüğünün 2019 yılında 500 milyar TL’yi aşmış olduğu söylenebilir.</w:t>
      </w:r>
    </w:p>
    <w:p w14:paraId="65609310" w14:textId="77777777" w:rsidR="00FA68BE" w:rsidRPr="00FA68BE" w:rsidRDefault="00FA68BE" w:rsidP="00844F4B">
      <w:pPr>
        <w:spacing w:after="160" w:line="259" w:lineRule="auto"/>
        <w:jc w:val="both"/>
        <w:rPr>
          <w:rFonts w:ascii="Arial" w:eastAsia="Calibri" w:hAnsi="Arial" w:cs="Arial"/>
          <w:b/>
          <w:bCs/>
          <w:color w:val="auto"/>
          <w:kern w:val="0"/>
          <w:sz w:val="22"/>
          <w:szCs w:val="22"/>
          <w:lang w:eastAsia="en-US"/>
        </w:rPr>
      </w:pPr>
      <w:r w:rsidRPr="00FA68BE">
        <w:rPr>
          <w:rFonts w:ascii="Arial" w:eastAsia="Calibri" w:hAnsi="Arial" w:cs="Arial"/>
          <w:b/>
          <w:bCs/>
          <w:color w:val="auto"/>
          <w:kern w:val="0"/>
          <w:sz w:val="22"/>
          <w:szCs w:val="22"/>
          <w:lang w:eastAsia="en-US"/>
        </w:rPr>
        <w:t>DEMİRYOLU YİNE EN DÜŞÜK PAYA SAHİP</w:t>
      </w:r>
    </w:p>
    <w:p w14:paraId="44F6A83A" w14:textId="77777777" w:rsidR="00FA68BE" w:rsidRPr="00FA68BE" w:rsidRDefault="00FA68BE" w:rsidP="00844F4B">
      <w:pPr>
        <w:spacing w:after="160" w:line="259" w:lineRule="auto"/>
        <w:jc w:val="both"/>
        <w:rPr>
          <w:rFonts w:ascii="Arial" w:eastAsia="Calibri" w:hAnsi="Arial" w:cs="Arial"/>
          <w:color w:val="auto"/>
          <w:kern w:val="0"/>
          <w:sz w:val="22"/>
          <w:szCs w:val="22"/>
          <w:lang w:eastAsia="en-US"/>
        </w:rPr>
      </w:pPr>
      <w:r w:rsidRPr="00FA68BE">
        <w:rPr>
          <w:rFonts w:ascii="Arial" w:eastAsia="Calibri" w:hAnsi="Arial" w:cs="Arial"/>
          <w:color w:val="auto"/>
          <w:kern w:val="0"/>
          <w:sz w:val="22"/>
          <w:szCs w:val="22"/>
          <w:lang w:eastAsia="en-US"/>
        </w:rPr>
        <w:t>Denizyolu taşımacılığı değer bazında hem ithalat hem de ihracatta en büyük paya sahiptir. 2009 yılından 2019 yılının üçüncü çeyreğine kadar olan dönemde İthalat taşımalarında denizyolu yüzde 65-70 arasında bir pay almaktadır. Aynı dönem içerisinde karayolunun payı ise ithalatta azalan bir seyir izlemekle beraber yüzde 20’ye yakın oranda ithal yükleri karayolu ile taşınmaktadır. Havayolu taşımacılığı ise karayolunun tersine 2009 yılından itibaren ithalat taşımalarında payını artırmaktadır. Demiryolunun ithalattaki payı ise 2012 yılından itibaren yüzde 1’den azdır. İhracatta denizyolu ile taşınan yüklerin değer bazında oranı 2009 yılından itibaren artmaktadır ve 2009 yılında yüzde 47,05 olan pay, 2019 yılının üçüncü çeyreği sonunda yüzde 62,42 olmuştur. Denizyolu ihracatının artış gösteren payının tam tersi bir seyir karayolu ile taşınan ihracat yüklerinde gözlemlenmekte olup 2009 yılında toplam ihracat taşımalarında karayolunun yüzde 42,30 olan payı azalma eğilimi sonucunda 2018 yılında yüzde 28, 2019 yılının üçüncü çeyreği sonunda ise yüzde 28,59’dur. İncelenen dönemde havayolunun ihracat taşımaları içerisindeki payına yönelik herhangi bir eğilim tespit etmek mümkün olmamakla birlikte payı, 2011 yılında en düşük oran olan yüzde 6,42, ertesi yıl 2012’de en yüksek oran olan yüzde 14,40 arası değişim göstermektedir. Demiryolunun ihracat taşımalarında da yine en düşük payı aldığı ve incelenen dönem içerisinde en yüksek pay olan yüzde 0,93 gerçekleşen 2011 yılı dahil tüm yıllar içerisinde ihracattaki payının yüzde 1’den az olduğu görülmektedir.</w:t>
      </w:r>
    </w:p>
    <w:p w14:paraId="7A1E0F14" w14:textId="77777777" w:rsidR="00844F4B" w:rsidRDefault="00844F4B" w:rsidP="00844F4B">
      <w:pPr>
        <w:spacing w:after="160" w:line="259" w:lineRule="auto"/>
        <w:jc w:val="both"/>
        <w:rPr>
          <w:rFonts w:ascii="Arial" w:eastAsia="Calibri" w:hAnsi="Arial" w:cs="Arial"/>
          <w:b/>
          <w:bCs/>
          <w:color w:val="auto"/>
          <w:kern w:val="0"/>
          <w:sz w:val="22"/>
          <w:szCs w:val="22"/>
          <w:lang w:eastAsia="en-US"/>
        </w:rPr>
      </w:pPr>
    </w:p>
    <w:p w14:paraId="1380B6D4" w14:textId="77777777" w:rsidR="00844F4B" w:rsidRDefault="00844F4B" w:rsidP="00844F4B">
      <w:pPr>
        <w:spacing w:after="160" w:line="259" w:lineRule="auto"/>
        <w:jc w:val="both"/>
        <w:rPr>
          <w:rFonts w:ascii="Arial" w:eastAsia="Calibri" w:hAnsi="Arial" w:cs="Arial"/>
          <w:b/>
          <w:bCs/>
          <w:color w:val="auto"/>
          <w:kern w:val="0"/>
          <w:sz w:val="22"/>
          <w:szCs w:val="22"/>
          <w:lang w:eastAsia="en-US"/>
        </w:rPr>
      </w:pPr>
    </w:p>
    <w:p w14:paraId="45A083A0" w14:textId="6E3572C4" w:rsidR="00FA68BE" w:rsidRPr="00FA68BE" w:rsidRDefault="00FA68BE" w:rsidP="00844F4B">
      <w:pPr>
        <w:spacing w:after="160" w:line="259" w:lineRule="auto"/>
        <w:jc w:val="both"/>
        <w:rPr>
          <w:rFonts w:ascii="Arial" w:eastAsia="Calibri" w:hAnsi="Arial" w:cs="Arial"/>
          <w:b/>
          <w:bCs/>
          <w:color w:val="auto"/>
          <w:kern w:val="0"/>
          <w:sz w:val="22"/>
          <w:szCs w:val="22"/>
          <w:lang w:eastAsia="en-US"/>
        </w:rPr>
      </w:pPr>
      <w:r w:rsidRPr="00FA68BE">
        <w:rPr>
          <w:rFonts w:ascii="Arial" w:eastAsia="Calibri" w:hAnsi="Arial" w:cs="Arial"/>
          <w:b/>
          <w:bCs/>
          <w:color w:val="auto"/>
          <w:kern w:val="0"/>
          <w:sz w:val="22"/>
          <w:szCs w:val="22"/>
          <w:lang w:eastAsia="en-US"/>
        </w:rPr>
        <w:t>AĞIRLIK BAZINDA YAPILAN İNCELEMELERDE EN BÜYÜK PAY DENİZYOLUNUN</w:t>
      </w:r>
    </w:p>
    <w:p w14:paraId="39E660B3" w14:textId="77777777" w:rsidR="00FA68BE" w:rsidRPr="00FA68BE" w:rsidRDefault="00FA68BE" w:rsidP="00844F4B">
      <w:pPr>
        <w:spacing w:after="160" w:line="259" w:lineRule="auto"/>
        <w:jc w:val="both"/>
        <w:rPr>
          <w:rFonts w:ascii="Arial" w:eastAsia="Calibri" w:hAnsi="Arial" w:cs="Arial"/>
          <w:color w:val="auto"/>
          <w:kern w:val="0"/>
          <w:sz w:val="22"/>
          <w:szCs w:val="22"/>
          <w:lang w:eastAsia="en-US"/>
        </w:rPr>
      </w:pPr>
      <w:r w:rsidRPr="00FA68BE">
        <w:rPr>
          <w:rFonts w:ascii="Arial" w:eastAsia="Calibri" w:hAnsi="Arial" w:cs="Arial"/>
          <w:color w:val="auto"/>
          <w:kern w:val="0"/>
          <w:sz w:val="22"/>
          <w:szCs w:val="22"/>
          <w:lang w:eastAsia="en-US"/>
        </w:rPr>
        <w:t>İthalat ve ihracatta taşınan yüklerin ağırlığı bazında yıllar içerisinde belirginleşen bazı eğilimler de göze çarpmaktadır. Ağırlık bazında ihracat taşımalarında denizyolu, 2018 yılı sonunda yüzde 78,25 oranında pay sahibidir ve bu oran 2019 yılının üçüncü çeyreği sonunda yüzde 80,15 olmuştur. İncelenen dönemin başından itibaren denizyolunun ağırlık bazında ihracattaki oranının artış eğiliminde olduğu görülmekle beraber bu eğilimin tam tersi karayolu taşımalarında gözlemlenmektedir. 2009 yılında yüzde 25,24 olan ağırlık bazında karayolu ihracat taşımaları 2015 yılı itibarıyla oransal azalma göstermektedir: 2018 yıl sonunda ağırlık bazında karayolu ihracat taşımalarının payı yüzde 20,44 iken bu oran 2019 yılının üçüncü çeyreği sonunda yüzde 18,54 olmuştur. Demiryolu ihracat taşımaları ise değer bazında olduğu gibi en küçük payı almaya ağırlık bazında da devam etmektedir. 2009 yılında ihracatta yüzde 1,15 olan demiryolu taşımacılığının payı takip eden tüm yıllarda, ithalatta ise incelenen dönemin tamamında yüzde 1’in altındadır.</w:t>
      </w:r>
    </w:p>
    <w:p w14:paraId="5618891E" w14:textId="77777777" w:rsidR="00FA68BE" w:rsidRPr="00FA68BE" w:rsidRDefault="00FA68BE" w:rsidP="00844F4B">
      <w:pPr>
        <w:spacing w:after="160" w:line="259" w:lineRule="auto"/>
        <w:jc w:val="both"/>
        <w:rPr>
          <w:rFonts w:ascii="Arial" w:eastAsia="Calibri" w:hAnsi="Arial" w:cs="Arial"/>
          <w:b/>
          <w:bCs/>
          <w:color w:val="auto"/>
          <w:kern w:val="0"/>
          <w:sz w:val="22"/>
          <w:szCs w:val="22"/>
          <w:lang w:eastAsia="en-US"/>
        </w:rPr>
      </w:pPr>
      <w:r w:rsidRPr="00FA68BE">
        <w:rPr>
          <w:rFonts w:ascii="Arial" w:eastAsia="Calibri" w:hAnsi="Arial" w:cs="Arial"/>
          <w:b/>
          <w:bCs/>
          <w:color w:val="auto"/>
          <w:kern w:val="0"/>
          <w:sz w:val="22"/>
          <w:szCs w:val="22"/>
          <w:lang w:eastAsia="en-US"/>
        </w:rPr>
        <w:t xml:space="preserve">HAVAYOLU İLE İTHALATI YAPILAN BİR KİLOGRAMLIK YÜKÜN DEĞERİNDE REKOR ARTIŞ </w:t>
      </w:r>
    </w:p>
    <w:p w14:paraId="065138CA" w14:textId="77777777" w:rsidR="00FA68BE" w:rsidRPr="00FA68BE" w:rsidRDefault="00FA68BE" w:rsidP="00844F4B">
      <w:pPr>
        <w:spacing w:after="160" w:line="259" w:lineRule="auto"/>
        <w:jc w:val="both"/>
        <w:rPr>
          <w:rFonts w:ascii="Arial" w:eastAsia="Calibri" w:hAnsi="Arial" w:cs="Arial"/>
          <w:color w:val="auto"/>
          <w:kern w:val="0"/>
          <w:sz w:val="22"/>
          <w:szCs w:val="22"/>
          <w:lang w:eastAsia="en-US"/>
        </w:rPr>
      </w:pPr>
      <w:r w:rsidRPr="00FA68BE">
        <w:rPr>
          <w:rFonts w:ascii="Arial" w:eastAsia="Calibri" w:hAnsi="Arial" w:cs="Arial"/>
          <w:color w:val="auto"/>
          <w:kern w:val="0"/>
          <w:sz w:val="22"/>
          <w:szCs w:val="22"/>
          <w:lang w:eastAsia="en-US"/>
        </w:rPr>
        <w:t xml:space="preserve">Raporda her taşıma </w:t>
      </w:r>
      <w:proofErr w:type="spellStart"/>
      <w:r w:rsidRPr="00FA68BE">
        <w:rPr>
          <w:rFonts w:ascii="Arial" w:eastAsia="Calibri" w:hAnsi="Arial" w:cs="Arial"/>
          <w:color w:val="auto"/>
          <w:kern w:val="0"/>
          <w:sz w:val="22"/>
          <w:szCs w:val="22"/>
          <w:lang w:eastAsia="en-US"/>
        </w:rPr>
        <w:t>moduyla</w:t>
      </w:r>
      <w:proofErr w:type="spellEnd"/>
      <w:r w:rsidRPr="00FA68BE">
        <w:rPr>
          <w:rFonts w:ascii="Arial" w:eastAsia="Calibri" w:hAnsi="Arial" w:cs="Arial"/>
          <w:color w:val="auto"/>
          <w:kern w:val="0"/>
          <w:sz w:val="22"/>
          <w:szCs w:val="22"/>
          <w:lang w:eastAsia="en-US"/>
        </w:rPr>
        <w:t xml:space="preserve"> taşınan yükün ortalama değerine ilişkin verilere de yer verildi. Havayolu ile ithal edilen 1 kilogram yükün değerinin 2019 yılının 3. çeyreğinin sonunda 258.49 ABD Doları bulduğuna dikkat çekildi. 2015 yılı için aynı değer 153.76 ABD dolarıydı. 5 yıl içerisindeki havayolu ile ihracatı yapılan bir kilo yükün değeri yaklaşık yüzde 68 artış gösterdi. 2019 yılının üçüncü çeyreğinde havayolu ithalat yükü, kilogram başına ortalama değeri 11,51 ABD Doları olan ihracat yükünden yüzde 22,5 daha değerli. Tabii havayolu kadar trajik olmasa da benzer bir durum karayolu için de geçerli. İthal ettiğimiz 1 kilogram yük ortalama olarak, karayolu ihraç ettiğimiz yüklerden her zaman daha pahalı. Bu durum yerli sanayinin ve üretim sektörünün </w:t>
      </w:r>
      <w:proofErr w:type="spellStart"/>
      <w:r w:rsidRPr="00FA68BE">
        <w:rPr>
          <w:rFonts w:ascii="Arial" w:eastAsia="Calibri" w:hAnsi="Arial" w:cs="Arial"/>
          <w:color w:val="auto"/>
          <w:kern w:val="0"/>
          <w:sz w:val="22"/>
          <w:szCs w:val="22"/>
          <w:lang w:eastAsia="en-US"/>
        </w:rPr>
        <w:t>evrilmesi</w:t>
      </w:r>
      <w:proofErr w:type="spellEnd"/>
      <w:r w:rsidRPr="00FA68BE">
        <w:rPr>
          <w:rFonts w:ascii="Arial" w:eastAsia="Calibri" w:hAnsi="Arial" w:cs="Arial"/>
          <w:color w:val="auto"/>
          <w:kern w:val="0"/>
          <w:sz w:val="22"/>
          <w:szCs w:val="22"/>
          <w:lang w:eastAsia="en-US"/>
        </w:rPr>
        <w:t xml:space="preserve"> gereken noktayı da gözler önüne sermektedir. </w:t>
      </w:r>
    </w:p>
    <w:p w14:paraId="74FC5EA4" w14:textId="77777777" w:rsidR="00FA68BE" w:rsidRPr="00FA68BE" w:rsidRDefault="00FA68BE" w:rsidP="00844F4B">
      <w:pPr>
        <w:spacing w:after="160" w:line="259" w:lineRule="auto"/>
        <w:jc w:val="both"/>
        <w:rPr>
          <w:rFonts w:ascii="Arial" w:eastAsia="Calibri" w:hAnsi="Arial" w:cs="Arial"/>
          <w:color w:val="auto"/>
          <w:kern w:val="0"/>
          <w:sz w:val="22"/>
          <w:szCs w:val="22"/>
          <w:lang w:eastAsia="en-US"/>
        </w:rPr>
      </w:pPr>
      <w:r w:rsidRPr="00FA68BE">
        <w:rPr>
          <w:rFonts w:ascii="Arial" w:eastAsia="Calibri" w:hAnsi="Arial" w:cs="Arial"/>
          <w:b/>
          <w:bCs/>
          <w:color w:val="auto"/>
          <w:kern w:val="0"/>
          <w:sz w:val="22"/>
          <w:szCs w:val="22"/>
          <w:lang w:eastAsia="en-US"/>
        </w:rPr>
        <w:t xml:space="preserve">LOJİSTİK PERFORMANS ENDEKSİNDE GERİLEME YAŞANIYOR </w:t>
      </w:r>
    </w:p>
    <w:p w14:paraId="10C7C1CD" w14:textId="77777777" w:rsidR="00FA68BE" w:rsidRPr="00FA68BE" w:rsidRDefault="00FA68BE" w:rsidP="00844F4B">
      <w:pPr>
        <w:spacing w:after="160" w:line="259" w:lineRule="auto"/>
        <w:jc w:val="both"/>
        <w:rPr>
          <w:rFonts w:ascii="Arial" w:eastAsia="Calibri" w:hAnsi="Arial" w:cs="Arial"/>
          <w:color w:val="auto"/>
          <w:kern w:val="0"/>
          <w:sz w:val="22"/>
          <w:szCs w:val="22"/>
          <w:lang w:eastAsia="en-US"/>
        </w:rPr>
      </w:pPr>
      <w:r w:rsidRPr="00FA68BE">
        <w:rPr>
          <w:rFonts w:ascii="Arial" w:eastAsia="Calibri" w:hAnsi="Arial" w:cs="Arial"/>
          <w:color w:val="auto"/>
          <w:kern w:val="0"/>
          <w:sz w:val="22"/>
          <w:szCs w:val="22"/>
          <w:lang w:eastAsia="en-US"/>
        </w:rPr>
        <w:t>UTİKAD Lojistik Sektörü Raporu 2019’da dünya çapında yayınlanan endeksler de yer aldı. Lojistik Performans Endeksi; ülkelerin lojistik performanslarını altı kriterde incelemektedir. Bunlar gümrük, altyapı, uluslararası sevkiyat, lojistik hizmetlerin kalitesi, gönderilerin takip ve izlenebilirliği ve son olarak gönderilerin zamanında teslimini içermektedir. 2018 yılında Türkiye 160 ülke arasından 47. sırada yer almaktadır. Önceki yıllarla karşılaştırıldığında 2018 yılında şimdiye kadarki en kötü performansını sergilemiş durumdadır. Türkiye’nin 2016 yılına kıyasla 6 kriterin hiçbirinde ilerleme kaydedemediği hatta önemli ölçüde gerileme yaşandığı gözlemlenmektedir.</w:t>
      </w:r>
    </w:p>
    <w:p w14:paraId="5A6291A4" w14:textId="77777777" w:rsidR="00FA68BE" w:rsidRPr="00FA68BE" w:rsidRDefault="00FA68BE" w:rsidP="00844F4B">
      <w:pPr>
        <w:spacing w:after="160" w:line="259" w:lineRule="auto"/>
        <w:jc w:val="both"/>
        <w:rPr>
          <w:rFonts w:ascii="Arial" w:eastAsia="Calibri" w:hAnsi="Arial" w:cs="Arial"/>
          <w:color w:val="auto"/>
          <w:kern w:val="0"/>
          <w:sz w:val="22"/>
          <w:szCs w:val="22"/>
          <w:lang w:eastAsia="en-US"/>
        </w:rPr>
      </w:pPr>
      <w:r w:rsidRPr="00FA68BE">
        <w:rPr>
          <w:rFonts w:ascii="Arial" w:eastAsia="Calibri" w:hAnsi="Arial" w:cs="Arial"/>
          <w:color w:val="auto"/>
          <w:kern w:val="0"/>
          <w:sz w:val="22"/>
          <w:szCs w:val="22"/>
          <w:lang w:eastAsia="en-US"/>
        </w:rPr>
        <w:t>İş Yapma Kolaylığı Endeksi’nde Türkiye’nin 2017 yılında 60. sırayı almasıyla beraber söz konusu çalışma hükümet organları tarafından çok önemsenmişti ve Türkiye’yi daha üst sıralara çıkarmak amacıyla eylem planları oluşturulmuştu. Uygulamaya alınan reformlar ile Türkiye 2018 yılında 43., 2019 yılında ise 33. sıraya yükseldi. Raporun lojistik sektörüne yönelik “Sınır Ötesi Ticaret” başlığı altında Türkiye 44. sıradadır. Bu bağlamda Türkiye’nin ihracatının artırılmasına yönelik alınacak tedbirlerde halen gelişime açık yönlerinin bulunduğunu söylemek mümkündür.</w:t>
      </w:r>
    </w:p>
    <w:p w14:paraId="518D0629" w14:textId="77777777" w:rsidR="00844F4B" w:rsidRDefault="00FA68BE" w:rsidP="00844F4B">
      <w:pPr>
        <w:spacing w:after="160" w:line="259" w:lineRule="auto"/>
        <w:jc w:val="both"/>
        <w:rPr>
          <w:rFonts w:ascii="Arial" w:eastAsia="Calibri" w:hAnsi="Arial" w:cs="Arial"/>
          <w:color w:val="auto"/>
          <w:kern w:val="0"/>
          <w:sz w:val="22"/>
          <w:szCs w:val="22"/>
          <w:lang w:eastAsia="en-US"/>
        </w:rPr>
      </w:pPr>
      <w:r w:rsidRPr="00FA68BE">
        <w:rPr>
          <w:rFonts w:ascii="Arial" w:eastAsia="Calibri" w:hAnsi="Arial" w:cs="Arial"/>
          <w:color w:val="auto"/>
          <w:kern w:val="0"/>
          <w:sz w:val="22"/>
          <w:szCs w:val="22"/>
          <w:lang w:eastAsia="en-US"/>
        </w:rPr>
        <w:t xml:space="preserve">Her yıl Dünya Ekonomik Forumu tarafından hazırlanıp yayınlanan Küresel Rekabet Endeksi’nde ise Türkiye 2018 ve 2019 yıllarında 61. sırada yer almaktadır. Rapora göre Türkiye’nin bilgi ve iletişim teknolojilerinin kullanımı ve altyapı ve iş gücü piyasası alanlarında ilerleme kaydetmiştir. Aynı zamanda raporda Türkiye’nin altyapı alanında havayolu taşımacılığı ve karayolu taşımacılığı </w:t>
      </w:r>
    </w:p>
    <w:p w14:paraId="7E52B9B4" w14:textId="77777777" w:rsidR="00844F4B" w:rsidRDefault="00844F4B" w:rsidP="00844F4B">
      <w:pPr>
        <w:spacing w:after="160" w:line="259" w:lineRule="auto"/>
        <w:jc w:val="both"/>
        <w:rPr>
          <w:rFonts w:ascii="Arial" w:eastAsia="Calibri" w:hAnsi="Arial" w:cs="Arial"/>
          <w:color w:val="auto"/>
          <w:kern w:val="0"/>
          <w:sz w:val="22"/>
          <w:szCs w:val="22"/>
          <w:lang w:eastAsia="en-US"/>
        </w:rPr>
      </w:pPr>
    </w:p>
    <w:p w14:paraId="127A14F3" w14:textId="33813172" w:rsidR="00FA68BE" w:rsidRPr="00FA68BE" w:rsidRDefault="00FA68BE" w:rsidP="00844F4B">
      <w:pPr>
        <w:spacing w:after="160" w:line="259" w:lineRule="auto"/>
        <w:jc w:val="both"/>
        <w:rPr>
          <w:rFonts w:ascii="Arial" w:eastAsia="Calibri" w:hAnsi="Arial" w:cs="Arial"/>
          <w:color w:val="auto"/>
          <w:kern w:val="0"/>
          <w:sz w:val="22"/>
          <w:szCs w:val="22"/>
          <w:lang w:eastAsia="en-US"/>
        </w:rPr>
      </w:pPr>
      <w:bookmarkStart w:id="0" w:name="_GoBack"/>
      <w:bookmarkEnd w:id="0"/>
      <w:proofErr w:type="gramStart"/>
      <w:r w:rsidRPr="00FA68BE">
        <w:rPr>
          <w:rFonts w:ascii="Arial" w:eastAsia="Calibri" w:hAnsi="Arial" w:cs="Arial"/>
          <w:color w:val="auto"/>
          <w:kern w:val="0"/>
          <w:sz w:val="22"/>
          <w:szCs w:val="22"/>
          <w:lang w:eastAsia="en-US"/>
        </w:rPr>
        <w:t>başlıkları</w:t>
      </w:r>
      <w:proofErr w:type="gramEnd"/>
      <w:r w:rsidRPr="00FA68BE">
        <w:rPr>
          <w:rFonts w:ascii="Arial" w:eastAsia="Calibri" w:hAnsi="Arial" w:cs="Arial"/>
          <w:color w:val="auto"/>
          <w:kern w:val="0"/>
          <w:sz w:val="22"/>
          <w:szCs w:val="22"/>
          <w:lang w:eastAsia="en-US"/>
        </w:rPr>
        <w:t xml:space="preserve"> altında ilerleme sağladığı ancak yüksek enflasyon sebebiyle makro ekonomik istikrar alanında ve tarife dışı engeller sebebiyle mal piyasası alanında kötü performans sergilediği belirtilmektedir.</w:t>
      </w:r>
    </w:p>
    <w:p w14:paraId="124CDACD" w14:textId="77777777" w:rsidR="00812502" w:rsidRPr="007D42BB" w:rsidRDefault="00812502" w:rsidP="00812502">
      <w:pPr>
        <w:spacing w:after="0" w:line="240" w:lineRule="auto"/>
        <w:jc w:val="both"/>
        <w:rPr>
          <w:rFonts w:ascii="Arial" w:hAnsi="Arial" w:cs="Arial"/>
          <w:color w:val="auto"/>
          <w:sz w:val="18"/>
          <w:szCs w:val="18"/>
        </w:rPr>
      </w:pPr>
    </w:p>
    <w:p w14:paraId="2972AA8A" w14:textId="77777777"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14:paraId="2F052F39" w14:textId="77777777"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74F1754C" w14:textId="44E8524E" w:rsidR="00812502" w:rsidRPr="007D42BB" w:rsidRDefault="00812502" w:rsidP="00812502">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sidR="00BD5DC9">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6E2DCB69" w14:textId="77777777" w:rsidR="00F80681" w:rsidRPr="007D42BB" w:rsidRDefault="00F80681" w:rsidP="00AD3EE0">
      <w:pPr>
        <w:rPr>
          <w:color w:val="auto"/>
        </w:rPr>
      </w:pPr>
    </w:p>
    <w:sectPr w:rsidR="00F80681" w:rsidRPr="007D42BB" w:rsidSect="00F37AAC">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21F71" w14:textId="77777777" w:rsidR="00CC7BDE" w:rsidRDefault="00CC7BDE" w:rsidP="00BD1D2D">
      <w:pPr>
        <w:spacing w:after="0" w:line="240" w:lineRule="auto"/>
      </w:pPr>
      <w:r>
        <w:separator/>
      </w:r>
    </w:p>
  </w:endnote>
  <w:endnote w:type="continuationSeparator" w:id="0">
    <w:p w14:paraId="76080BFF" w14:textId="77777777" w:rsidR="00CC7BDE" w:rsidRDefault="00CC7BDE"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0CEE4" w14:textId="77777777" w:rsidR="00B9504B" w:rsidRDefault="00B950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9499C" w14:textId="77777777" w:rsidR="00F0476B" w:rsidRPr="00F0476B" w:rsidRDefault="00CC7BDE"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2939DF0F"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2E52D427" wp14:editId="3AA1A79F">
          <wp:extent cx="2990215" cy="247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2C2EFFD1" w14:textId="77777777" w:rsidR="00823B30" w:rsidRPr="00823B30" w:rsidRDefault="00823B30" w:rsidP="00132D52">
    <w:pPr>
      <w:pStyle w:val="AltBilgi"/>
      <w:jc w:val="center"/>
      <w:rPr>
        <w:b/>
        <w:noProof/>
        <w:color w:val="000000" w:themeColor="text1"/>
      </w:rPr>
    </w:pPr>
  </w:p>
  <w:p w14:paraId="2218C5B3"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2B653686"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64E98BFE" w14:textId="77777777" w:rsidR="00B444B9"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Tel: +90 (212) 6</w:t>
    </w:r>
    <w:r w:rsidR="00B9504B">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 xml:space="preserve">3 62 61 Faks: +90 (212) 663 62 72 </w:t>
    </w:r>
  </w:p>
  <w:p w14:paraId="6EAC7CE4"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6A402D10" w14:textId="77777777" w:rsidR="00823B30" w:rsidRPr="00F0476B" w:rsidRDefault="00823B30" w:rsidP="00132D52">
    <w:pPr>
      <w:pStyle w:val="AltBilgi"/>
      <w:jc w:val="center"/>
      <w:rPr>
        <w:rFonts w:ascii="Microsoft Sans Serif" w:hAnsi="Microsoft Sans Serif" w:cs="Microsoft Sans Serif"/>
        <w:color w:val="000000" w:themeColor="text1"/>
      </w:rPr>
    </w:pPr>
    <w:r w:rsidRPr="00F0476B">
      <w:rPr>
        <w:rFonts w:ascii="Microsoft Sans Serif" w:hAnsi="Microsoft Sans Serif" w:cs="Microsoft Sans Serif"/>
        <w:noProof/>
        <w:color w:val="000000" w:themeColor="text1"/>
      </w:rPr>
      <w:t>Şenlikköy Mahallesi Saçı Sok. No:4 / F Florya 34153 Bakırköy – İstanbul - Türkiye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E308E" w14:textId="77777777" w:rsidR="00B9504B" w:rsidRDefault="00B950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CB65A" w14:textId="77777777" w:rsidR="00CC7BDE" w:rsidRDefault="00CC7BDE" w:rsidP="00BD1D2D">
      <w:pPr>
        <w:spacing w:after="0" w:line="240" w:lineRule="auto"/>
      </w:pPr>
      <w:r>
        <w:separator/>
      </w:r>
    </w:p>
  </w:footnote>
  <w:footnote w:type="continuationSeparator" w:id="0">
    <w:p w14:paraId="79AA6FFD" w14:textId="77777777" w:rsidR="00CC7BDE" w:rsidRDefault="00CC7BDE"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00980" w14:textId="77777777" w:rsidR="00B9504B" w:rsidRDefault="00B950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0CBFF" w14:textId="77777777" w:rsidR="00132D52" w:rsidRDefault="00132D52" w:rsidP="00132D52">
    <w:pPr>
      <w:pStyle w:val="stBilgi"/>
      <w:jc w:val="center"/>
    </w:pPr>
    <w:r>
      <w:rPr>
        <w:noProof/>
      </w:rPr>
      <w:drawing>
        <wp:inline distT="0" distB="0" distL="0" distR="0" wp14:anchorId="2537B279" wp14:editId="64C68114">
          <wp:extent cx="2368152" cy="468000"/>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96671" w14:textId="77777777" w:rsidR="00B9504B" w:rsidRDefault="00B9504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60CB5"/>
    <w:multiLevelType w:val="hybridMultilevel"/>
    <w:tmpl w:val="6C161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F512264"/>
    <w:multiLevelType w:val="hybridMultilevel"/>
    <w:tmpl w:val="35A45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2E13E9C"/>
    <w:multiLevelType w:val="hybridMultilevel"/>
    <w:tmpl w:val="69F42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2D"/>
    <w:rsid w:val="000444CA"/>
    <w:rsid w:val="00093D26"/>
    <w:rsid w:val="000B3960"/>
    <w:rsid w:val="000B3ED3"/>
    <w:rsid w:val="000B6162"/>
    <w:rsid w:val="000C28AE"/>
    <w:rsid w:val="000E4983"/>
    <w:rsid w:val="00132D52"/>
    <w:rsid w:val="00142E49"/>
    <w:rsid w:val="00191E4A"/>
    <w:rsid w:val="001A397C"/>
    <w:rsid w:val="001C6A0D"/>
    <w:rsid w:val="001D1CB3"/>
    <w:rsid w:val="002377D3"/>
    <w:rsid w:val="002443A1"/>
    <w:rsid w:val="00257367"/>
    <w:rsid w:val="00294011"/>
    <w:rsid w:val="002B24DF"/>
    <w:rsid w:val="002C587B"/>
    <w:rsid w:val="002D027A"/>
    <w:rsid w:val="002F4FE2"/>
    <w:rsid w:val="002F7909"/>
    <w:rsid w:val="00300AEF"/>
    <w:rsid w:val="003059EA"/>
    <w:rsid w:val="00331A33"/>
    <w:rsid w:val="0034612A"/>
    <w:rsid w:val="00394C47"/>
    <w:rsid w:val="00396B07"/>
    <w:rsid w:val="003A4B1F"/>
    <w:rsid w:val="003B2F94"/>
    <w:rsid w:val="003F5008"/>
    <w:rsid w:val="00432BCB"/>
    <w:rsid w:val="00455D0F"/>
    <w:rsid w:val="00473C12"/>
    <w:rsid w:val="0048347E"/>
    <w:rsid w:val="004A4A93"/>
    <w:rsid w:val="004A4EA6"/>
    <w:rsid w:val="004A66A2"/>
    <w:rsid w:val="004B4CD7"/>
    <w:rsid w:val="004B52EF"/>
    <w:rsid w:val="00506367"/>
    <w:rsid w:val="00551A5B"/>
    <w:rsid w:val="00562D93"/>
    <w:rsid w:val="00565031"/>
    <w:rsid w:val="00574A61"/>
    <w:rsid w:val="005767C3"/>
    <w:rsid w:val="005767DD"/>
    <w:rsid w:val="005B559C"/>
    <w:rsid w:val="005C0748"/>
    <w:rsid w:val="005D5EEE"/>
    <w:rsid w:val="005E2AA7"/>
    <w:rsid w:val="005E2FB2"/>
    <w:rsid w:val="005F6111"/>
    <w:rsid w:val="00652765"/>
    <w:rsid w:val="00655784"/>
    <w:rsid w:val="00656778"/>
    <w:rsid w:val="00665CBF"/>
    <w:rsid w:val="0067405D"/>
    <w:rsid w:val="006778E7"/>
    <w:rsid w:val="0069493A"/>
    <w:rsid w:val="00722BA5"/>
    <w:rsid w:val="0073383B"/>
    <w:rsid w:val="00743476"/>
    <w:rsid w:val="007868D7"/>
    <w:rsid w:val="007908D4"/>
    <w:rsid w:val="007D17B1"/>
    <w:rsid w:val="007D1F95"/>
    <w:rsid w:val="007D42BB"/>
    <w:rsid w:val="007E4974"/>
    <w:rsid w:val="00812502"/>
    <w:rsid w:val="00823B30"/>
    <w:rsid w:val="00837BF0"/>
    <w:rsid w:val="00844F4B"/>
    <w:rsid w:val="00860633"/>
    <w:rsid w:val="008627AD"/>
    <w:rsid w:val="00886967"/>
    <w:rsid w:val="00891DF1"/>
    <w:rsid w:val="008A7C86"/>
    <w:rsid w:val="008B18CB"/>
    <w:rsid w:val="008C05BF"/>
    <w:rsid w:val="008D3C30"/>
    <w:rsid w:val="008E6473"/>
    <w:rsid w:val="008F3342"/>
    <w:rsid w:val="009126DA"/>
    <w:rsid w:val="009232B5"/>
    <w:rsid w:val="009376CF"/>
    <w:rsid w:val="00956605"/>
    <w:rsid w:val="009824CF"/>
    <w:rsid w:val="00997481"/>
    <w:rsid w:val="009C3958"/>
    <w:rsid w:val="009D5867"/>
    <w:rsid w:val="009D707B"/>
    <w:rsid w:val="00A06931"/>
    <w:rsid w:val="00AD3B5F"/>
    <w:rsid w:val="00AD3EE0"/>
    <w:rsid w:val="00AE10B0"/>
    <w:rsid w:val="00B27A17"/>
    <w:rsid w:val="00B30CA0"/>
    <w:rsid w:val="00B444B9"/>
    <w:rsid w:val="00B749B5"/>
    <w:rsid w:val="00B807AF"/>
    <w:rsid w:val="00B9504B"/>
    <w:rsid w:val="00B97A3F"/>
    <w:rsid w:val="00BC400A"/>
    <w:rsid w:val="00BD1D2D"/>
    <w:rsid w:val="00BD5DC9"/>
    <w:rsid w:val="00BE6183"/>
    <w:rsid w:val="00C02910"/>
    <w:rsid w:val="00C2111B"/>
    <w:rsid w:val="00C41B4F"/>
    <w:rsid w:val="00C63EE6"/>
    <w:rsid w:val="00C64713"/>
    <w:rsid w:val="00C87815"/>
    <w:rsid w:val="00CC0AD7"/>
    <w:rsid w:val="00CC5A1E"/>
    <w:rsid w:val="00CC7BDE"/>
    <w:rsid w:val="00CE7352"/>
    <w:rsid w:val="00CF2AFE"/>
    <w:rsid w:val="00CF30CC"/>
    <w:rsid w:val="00D01FC0"/>
    <w:rsid w:val="00D159EA"/>
    <w:rsid w:val="00D17841"/>
    <w:rsid w:val="00D2285E"/>
    <w:rsid w:val="00D56173"/>
    <w:rsid w:val="00D72555"/>
    <w:rsid w:val="00D74BAD"/>
    <w:rsid w:val="00DC5F17"/>
    <w:rsid w:val="00E009EA"/>
    <w:rsid w:val="00E932F3"/>
    <w:rsid w:val="00E96D72"/>
    <w:rsid w:val="00EC103B"/>
    <w:rsid w:val="00ED14BC"/>
    <w:rsid w:val="00ED7172"/>
    <w:rsid w:val="00F0476B"/>
    <w:rsid w:val="00F05D4E"/>
    <w:rsid w:val="00F2742B"/>
    <w:rsid w:val="00F37AAC"/>
    <w:rsid w:val="00F80681"/>
    <w:rsid w:val="00FA68BE"/>
    <w:rsid w:val="00FB732D"/>
    <w:rsid w:val="00FD6E5D"/>
    <w:rsid w:val="00FD7788"/>
    <w:rsid w:val="00FF7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A836F"/>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51A5B"/>
    <w:pPr>
      <w:spacing w:after="0" w:line="240" w:lineRule="auto"/>
    </w:pPr>
    <w:rPr>
      <w:rFonts w:asciiTheme="minorHAnsi" w:eastAsiaTheme="minorHAnsi" w:hAnsiTheme="minorHAnsi" w:cstheme="minorBidi"/>
      <w:color w:val="auto"/>
      <w:kern w:val="0"/>
    </w:rPr>
  </w:style>
  <w:style w:type="character" w:styleId="AklamaBavurusu">
    <w:name w:val="annotation reference"/>
    <w:basedOn w:val="VarsaylanParagrafYazTipi"/>
    <w:uiPriority w:val="99"/>
    <w:semiHidden/>
    <w:unhideWhenUsed/>
    <w:rsid w:val="008C05BF"/>
    <w:rPr>
      <w:sz w:val="16"/>
      <w:szCs w:val="16"/>
    </w:rPr>
  </w:style>
  <w:style w:type="paragraph" w:styleId="AklamaMetni">
    <w:name w:val="annotation text"/>
    <w:basedOn w:val="Normal"/>
    <w:link w:val="AklamaMetniChar"/>
    <w:uiPriority w:val="99"/>
    <w:semiHidden/>
    <w:unhideWhenUsed/>
    <w:rsid w:val="008C05BF"/>
    <w:pPr>
      <w:spacing w:line="240" w:lineRule="auto"/>
    </w:pPr>
  </w:style>
  <w:style w:type="character" w:customStyle="1" w:styleId="AklamaMetniChar">
    <w:name w:val="Açıklama Metni Char"/>
    <w:basedOn w:val="VarsaylanParagrafYazTipi"/>
    <w:link w:val="AklamaMetni"/>
    <w:uiPriority w:val="99"/>
    <w:semiHidden/>
    <w:rsid w:val="008C05BF"/>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C05BF"/>
    <w:rPr>
      <w:b/>
      <w:bCs/>
    </w:rPr>
  </w:style>
  <w:style w:type="character" w:customStyle="1" w:styleId="AklamaKonusuChar">
    <w:name w:val="Açıklama Konusu Char"/>
    <w:basedOn w:val="AklamaMetniChar"/>
    <w:link w:val="AklamaKonusu"/>
    <w:uiPriority w:val="99"/>
    <w:semiHidden/>
    <w:rsid w:val="008C05BF"/>
    <w:rPr>
      <w:rFonts w:ascii="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E9B1A-643F-4BD4-8B2E-7848D0A4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2174</Words>
  <Characters>12397</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56</cp:revision>
  <cp:lastPrinted>2017-11-06T14:31:00Z</cp:lastPrinted>
  <dcterms:created xsi:type="dcterms:W3CDTF">2019-11-29T10:40:00Z</dcterms:created>
  <dcterms:modified xsi:type="dcterms:W3CDTF">2020-01-22T06:28:00Z</dcterms:modified>
</cp:coreProperties>
</file>